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42427-2026 i Sorsele kommun</w:t>
      </w:r>
    </w:p>
    <w:p>
      <w:r>
        <w:t>Denna tillsynsbegäran behandlar höga naturvärden i avverkningsanmälan A 42427-2026 i Sorsele kommun som inkom 2026-10-13 och omfattar 22,6 ha.</w:t>
      </w:r>
    </w:p>
    <w:p>
      <w:pPr>
        <w:pStyle w:val="Caption"/>
      </w:pPr>
      <w:r>
        <w:drawing>
          <wp:inline xmlns:a="http://schemas.openxmlformats.org/drawingml/2006/main" xmlns:pic="http://schemas.openxmlformats.org/drawingml/2006/picture">
            <wp:extent cx="5486400" cy="4419286"/>
            <wp:docPr id="1" name="Picture 1"/>
            <wp:cNvGraphicFramePr>
              <a:graphicFrameLocks noChangeAspect="1"/>
            </wp:cNvGraphicFramePr>
            <a:graphic>
              <a:graphicData uri="http://schemas.openxmlformats.org/drawingml/2006/picture">
                <pic:pic>
                  <pic:nvPicPr>
                    <pic:cNvPr id="0" name="A 42427-2026 karta.png"/>
                    <pic:cNvPicPr/>
                  </pic:nvPicPr>
                  <pic:blipFill>
                    <a:blip r:embed="rId16"/>
                    <a:stretch>
                      <a:fillRect/>
                    </a:stretch>
                  </pic:blipFill>
                  <pic:spPr>
                    <a:xfrm>
                      <a:off x="0" y="0"/>
                      <a:ext cx="5486400" cy="441928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7271535, E 613211 i SWEREF 99 TM.</w:t>
      </w:r>
    </w:p>
    <w:p>
      <w:r>
        <w:t>I och inom 6 meter från avverkningsanmälan finns fynd av 17 naturvårdsarter, varav 10 är rödlistade, 8 är fridlysta, 9 är typiska (T) och 3 är signalarter (S): garnlav (VU, T), hökuggla (VU, §4), dropptaggsvamp (NT, T), grönsångare (NT, §4), kolflarnlav (NT, T), lunglav (NT, T), orange taggsvamp (NT, T), skarp dropptaggsvamp (NT), sädesärla (NT, §4), talltita (NT, §4), luddlav (S, T), plattlummer (S, T, §9), stuplav (S, T), sälg (T), grönsiska (§4), havsörn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Sälg </w:t>
      </w:r>
      <w:r>
        <w:t xml:space="preserve">är typisk art för </w:t>
      </w:r>
      <w:r>
        <w:rPr>
          <w:i/>
        </w:rPr>
        <w:t xml:space="preserve">9040 Fjällbjörkskog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lunglav (NT, T), orange taggsvamp (NT, T), luddlav (S, T), plattlummer (S, T, §9), stuplav (S, T)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