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10060-2022 i Sorsele kommun</w:t>
      </w:r>
    </w:p>
    <w:p>
      <w:r>
        <w:t>Denna tillsynsbegäran behandlar höga naturvärden i avverkningsanmälan A 10060-2022 i Sorsele kommun som inkom 2022-03-01 och omfattar 45,3 ha.</w:t>
      </w:r>
    </w:p>
    <w:p>
      <w:pPr>
        <w:pStyle w:val="Caption"/>
      </w:pPr>
      <w:r>
        <w:drawing>
          <wp:inline xmlns:a="http://schemas.openxmlformats.org/drawingml/2006/main" xmlns:pic="http://schemas.openxmlformats.org/drawingml/2006/picture">
            <wp:extent cx="5391575" cy="5724000"/>
            <wp:docPr id="1" name="Picture 1"/>
            <wp:cNvGraphicFramePr>
              <a:graphicFrameLocks noChangeAspect="1"/>
            </wp:cNvGraphicFramePr>
            <a:graphic>
              <a:graphicData uri="http://schemas.openxmlformats.org/drawingml/2006/picture">
                <pic:pic>
                  <pic:nvPicPr>
                    <pic:cNvPr id="0" name="A 10060-2022 karta.png"/>
                    <pic:cNvPicPr/>
                  </pic:nvPicPr>
                  <pic:blipFill>
                    <a:blip r:embed="rId16"/>
                    <a:stretch>
                      <a:fillRect/>
                    </a:stretch>
                  </pic:blipFill>
                  <pic:spPr>
                    <a:xfrm>
                      <a:off x="0" y="0"/>
                      <a:ext cx="5391575" cy="5724000"/>
                    </a:xfrm>
                    <a:prstGeom prst="rect"/>
                  </pic:spPr>
                </pic:pic>
              </a:graphicData>
            </a:graphic>
          </wp:inline>
        </w:drawing>
      </w:r>
    </w:p>
    <w:p>
      <w:pPr>
        <w:pStyle w:val="Caption"/>
        <w:spacing w:after="240"/>
      </w:pPr>
      <w:r>
        <w:t>Figur 1. Fyndplatser för naturvårdsarter i och inom 12 meter från avverkningsanmälan. Markörer utan svart kant är placerade på fyndplatsen. Markörer med svart kant är placerade vid sidan av fyndplatsen har ett svart streck som visar fyndplatsens exakta position. Kartans mittpunktskoordinat är N 7314911, E 553256 i SWEREF 99 TM.</w:t>
      </w:r>
    </w:p>
    <w:p>
      <w:r>
        <w:t>I och inom 12 meter från avverkningsanmälan finns fynd av 21 naturvårdsarter, varav 13 är rödlistade, 3 är fridlysta, 16 är typiska (T) och 6 är signalarter (S): garnlav (VU, T), gräddporing (VU, T), dvärgbägarlav (NT, T), gammelgransskål (NT, T), kolflarnlav (NT, T), nordtagging (NT), rödbrun blekspik (NT, T), talltagel (NT, T), tretåig hackspett (NT, T, §4), vedflamlav (NT), violettgrå tagellav (NT, T), vitgrynig nållav (NT), vitplätt (NT), blodticka (S, T), bårdlav (S, T), norrlandslav (S, T), nästlav (S, T), stuplav (S, T), vedticka (S, T), spillkråka (T, §4)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r>
        <w:rPr>
          <w:b/>
        </w:rPr>
        <w:t>Talltagel (NT)</w:t>
      </w:r>
      <w:r>
        <w:t xml:space="preserve"> är en boreal art som förekommer på tall i äldre, öppna tallskogar. Den påverkas negativt av brist på kontinuitetsskog och minskningstakten bedöms vara nära gränsvärdet för Sårbar (VU). Talltagel är typisk art för </w:t>
      </w:r>
      <w:r>
        <w:rPr>
          <w:i/>
        </w:rPr>
        <w:t>9010 Taiga</w:t>
      </w:r>
      <w:r>
        <w:t xml:space="preserve">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r>
        <w:rPr>
          <w:b/>
        </w:rPr>
        <w:t xml:space="preserve">Blodticka </w:t>
      </w:r>
      <w:r>
        <w:t xml:space="preserve">är i norra Sverige främst knuten till grova granlågor i urskogsartad barrskog, men förekommer ibland även på klenare granar i anslutning till bäckar och sumpskogar. Den är en bra indikator på granskogar med höga naturvärden och oftast förekommer den tillsammans med ett stort antal ovanliga och rödlistade arter. I södra Sverige växer den framför allt på tall och har då ett lägre signalvärde. Blodticka är typisk art för </w:t>
      </w:r>
      <w:r>
        <w:rPr>
          <w:i/>
        </w:rPr>
        <w:t>9030 Landhöjningsskog</w:t>
      </w:r>
      <w:r>
        <w:t xml:space="preserve"> (SLU Artdatabanken, 2025;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gräddporing (VU, T), dvärgbägarlav (NT, T), gammelgransskål (NT, T), kolflarnlav (NT, T), rödbrun blekspik (NT, T), talltagel (NT, T), tretåig hackspett (NT, T, §4), violettgrå tagellav (NT, T), blodticka (S, T), bårdlav (S, T), norrlandslav (S, T), nästlav (S, T), stuplav (S, T), vedticka (S, T)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