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42427-2026 i Sorsele kommun</w:t>
      </w:r>
    </w:p>
    <w:p>
      <w:r>
        <w:t>Detta klagomål behandlar höga naturvärden i avverkningsanmälan A 42427-2026 i Sorsele kommun som inkom 2026-10-13 och omfattar 22,6 ha.</w:t>
      </w:r>
    </w:p>
    <w:p>
      <w:pPr>
        <w:pStyle w:val="Caption"/>
      </w:pPr>
      <w:r>
        <w:drawing>
          <wp:inline xmlns:a="http://schemas.openxmlformats.org/drawingml/2006/main" xmlns:pic="http://schemas.openxmlformats.org/drawingml/2006/picture">
            <wp:extent cx="5486400" cy="4419286"/>
            <wp:docPr id="1" name="Picture 1"/>
            <wp:cNvGraphicFramePr>
              <a:graphicFrameLocks noChangeAspect="1"/>
            </wp:cNvGraphicFramePr>
            <a:graphic>
              <a:graphicData uri="http://schemas.openxmlformats.org/drawingml/2006/picture">
                <pic:pic>
                  <pic:nvPicPr>
                    <pic:cNvPr id="0" name="A 42427-2026 karta.png"/>
                    <pic:cNvPicPr/>
                  </pic:nvPicPr>
                  <pic:blipFill>
                    <a:blip r:embed="rId16"/>
                    <a:stretch>
                      <a:fillRect/>
                    </a:stretch>
                  </pic:blipFill>
                  <pic:spPr>
                    <a:xfrm>
                      <a:off x="0" y="0"/>
                      <a:ext cx="5486400" cy="441928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7271535, E 613211 i SWEREF 99 TM.</w:t>
      </w:r>
    </w:p>
    <w:p>
      <w:r>
        <w:t>I och inom 6 meter från avverkningsanmälan finns fynd av 9 naturvårdsarter, varav 6 är rödlistade, 7 är fridlysta och 1 är typisk (T): hökuggla (VU, §4), grönsångare (NT, §4), orange taggsvamp (NT, T), skarp dropptaggsvamp (NT), sädesärla (NT, §4), talltita (NT, §4), grönsiska (§4), havsörn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