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22 naturvårdsarter, varav 14 är rödlistade, 5 är fridlysta, 17 är typiska (T) och 6 är signalarter (S): fläckporing (VU, T), garnlav (VU, T), knärot (VU, T, §8), dvärgbägarlav (NT, T), gammelgransskål (NT, T), kolflarnlav (NT, T), mörk kolflarnlav (NT), nordtagging (NT), tallticka (NT, T), talltita (NT, §4), tretåig hackspett (NT, T, §4), ullticka (NT, T), vaddporing (NT), vedskivlav (NT, T), bårdlav (S, T), luddlav (S, T), skinnlav (S, T), spindelblomster (S, T, §8), stuplav (S, T), vedticka (S, T), kötticka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gammelgransskål (NT, T), kolflarnlav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