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45582-2022 i Sorsele kommun</w:t>
      </w:r>
    </w:p>
    <w:p>
      <w:r>
        <w:t>Denna tillsynsbegäran behandlar höga naturvärden i avverkningsanmälan A 45582-2022 i Sorsele kommun som inkom 2022-10-07 och omfattar 79,3 ha.</w:t>
      </w:r>
    </w:p>
    <w:p>
      <w:pPr>
        <w:pStyle w:val="Caption"/>
      </w:pPr>
      <w:r>
        <w:drawing>
          <wp:inline xmlns:a="http://schemas.openxmlformats.org/drawingml/2006/main" xmlns:pic="http://schemas.openxmlformats.org/drawingml/2006/picture">
            <wp:extent cx="5486400" cy="4334445"/>
            <wp:docPr id="1" name="Picture 1"/>
            <wp:cNvGraphicFramePr>
              <a:graphicFrameLocks noChangeAspect="1"/>
            </wp:cNvGraphicFramePr>
            <a:graphic>
              <a:graphicData uri="http://schemas.openxmlformats.org/drawingml/2006/picture">
                <pic:pic>
                  <pic:nvPicPr>
                    <pic:cNvPr id="0" name="A 45582-2022 karta.png"/>
                    <pic:cNvPicPr/>
                  </pic:nvPicPr>
                  <pic:blipFill>
                    <a:blip r:embed="rId16"/>
                    <a:stretch>
                      <a:fillRect/>
                    </a:stretch>
                  </pic:blipFill>
                  <pic:spPr>
                    <a:xfrm>
                      <a:off x="0" y="0"/>
                      <a:ext cx="5486400" cy="43344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7301732, E 583504 i SWEREF 99 TM.</w:t>
      </w:r>
    </w:p>
    <w:p>
      <w:r>
        <w:t>I avverkningsanmälan finns fynd av 4 naturvårdsarter, varav 4 är rödlistade och 3 är typiska (T): grangytterlav (EN), lunglav (NT, T), olivbrun gytterlav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Grangytterlav (EN)</w:t>
      </w:r>
      <w:r>
        <w:t xml:space="preserve"> är en starkt hotad art som i Sverige växer på sydvända men skuggade klippväggar och block omgivna av skog i områden med mycket hög och jämn luftfuktighet. Alla skogsskötselåtgärder på eller i närheten av lokalerna utgör ett hot. Då grangytterlav har en mycket begränsad europeisk utbredning och en stor andel av den europeiska populationen finns i Sverige har Sverige ett speciellt ansvar för denna art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Olivbrun gytterlav är typisk art för </w:t>
      </w:r>
      <w:r>
        <w:rPr>
          <w:i/>
        </w:rPr>
        <w:t xml:space="preserve">9020 Nordlig ädellövskog, 9070 Trädklädd betesmark </w:t>
      </w:r>
      <w:r>
        <w:t xml:space="preserve">och </w:t>
      </w:r>
      <w:r>
        <w:rPr>
          <w:i/>
        </w:rPr>
        <w:t xml:space="preserve">9180 Ädellövskog i branter </w:t>
      </w:r>
      <w:r>
        <w:t>(SLU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