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8219-2025 i Sorsele kommun</w:t>
      </w:r>
    </w:p>
    <w:p>
      <w:r>
        <w:t>Detta klagomål behandlar höga naturvärden i avverkningsanmälan A 8219-2025 i Sorsele kommun som inkom 2025-02-19 och omfattar 68,1 ha.</w:t>
      </w:r>
    </w:p>
    <w:p>
      <w:pPr>
        <w:pStyle w:val="Caption"/>
      </w:pPr>
      <w:r>
        <w:drawing>
          <wp:inline xmlns:a="http://schemas.openxmlformats.org/drawingml/2006/main" xmlns:pic="http://schemas.openxmlformats.org/drawingml/2006/picture">
            <wp:extent cx="5486400" cy="5145149"/>
            <wp:docPr id="1" name="Picture 1"/>
            <wp:cNvGraphicFramePr>
              <a:graphicFrameLocks noChangeAspect="1"/>
            </wp:cNvGraphicFramePr>
            <a:graphic>
              <a:graphicData uri="http://schemas.openxmlformats.org/drawingml/2006/picture">
                <pic:pic>
                  <pic:nvPicPr>
                    <pic:cNvPr id="0" name="A 8219-2025 karta.png"/>
                    <pic:cNvPicPr/>
                  </pic:nvPicPr>
                  <pic:blipFill>
                    <a:blip r:embed="rId16"/>
                    <a:stretch>
                      <a:fillRect/>
                    </a:stretch>
                  </pic:blipFill>
                  <pic:spPr>
                    <a:xfrm>
                      <a:off x="0" y="0"/>
                      <a:ext cx="5486400" cy="5145149"/>
                    </a:xfrm>
                    <a:prstGeom prst="rect"/>
                  </pic:spPr>
                </pic:pic>
              </a:graphicData>
            </a:graphic>
          </wp:inline>
        </w:drawing>
      </w:r>
    </w:p>
    <w:p>
      <w:pPr>
        <w:pStyle w:val="Caption"/>
        <w:spacing w:after="240"/>
      </w:pPr>
      <w:r>
        <w:t>Figur 1. Fyndplatser för naturvårdsarter i och inom 15 meter från avverkningsanmälan. Markörer utan svart kant är placerade på fyndplatsen. Markörer med svart kant är placerade vid sidan av fyndplatsen har ett svart streck som visar fyndplatsens exakta position. Kartans mittpunktskoordinat är N 7309464, E 560573 i SWEREF 99 TM.</w:t>
      </w:r>
    </w:p>
    <w:p>
      <w:r>
        <w:t>I och inom 15 meter från avverkningsanmälan finns fynd av 26 naturvårdsarter, varav 19 är rödlistade, 2 är fridlysta, 21 är typiska (T) och 7 är signalarter (S): garnlav (VU, T), grantickeporing (VU), gränsticka (VU, T), smalskaftslav (VU), tajgaskinn (VU), brunpudrad nållav (NT, T), doftskinn (NT, T), gammelgransskål (NT, T), harticka (NT, T), lunglav (NT, T), rosenticka (NT, T), rynkskinn (NT, T), rödbrun blekspik (NT, T), skrovellav (NT, T), skuggblåslav (NT, T), tretåig hackspett (NT, T, §4), ullticka (NT, T), vedtrappmossa (NT, T), vitgrynig nållav (NT), blodticka (S, T), bårdlav (S, T), korallrot (S, T, §8), strutbräken (S, T), svavelriska (S), trådticka (S, T) och vedticka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Grantickeporing (VU)</w:t>
      </w:r>
      <w:r>
        <w:t xml:space="preserve"> växer på murken ved och döda fruktkroppar av granticka och gränsticka (VU). Den förekommer i naturskogsliknade granskogar, gärna i fuktiga miljöer vid källbäckar och liknande. Avverkning av naturskogslika miljöer och av grova granar där grantickeporing förekommer är ett direkt hot mot artens fortlevnad. Gamla granskogar som hyser arten undantas helt från skogsbruk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Smalskaftslav (VU)</w:t>
      </w:r>
      <w:r>
        <w:t>, rödlistad som sårbar, påträffas i gamla barrskogar eller lövskogar med mycket hög och jämn luftfuktighet. Arten är placerad i toppen av Skogsstyrelsens värdepyramid för bedömning av skog med höga naturvärden och alla skogsbruksåtgärder som kan påverka hydrologi och fuktighetsförhållandena på eller i omedelbar närhet av växtplatserna, t.ex. utglesning eller slutavverkning, är ett hot. Samtliga förekomster bör skyddas tillsammans med väl tilltagna skyddszoner (Nitare &amp; Skogsstyrelsen, 2019; SLU Artdatabanken, 2024).</w:t>
      </w:r>
    </w:p>
    <w:p>
      <w:r>
        <w:rPr>
          <w:b/>
        </w:rPr>
        <w:t>Tajgaskinn (VU)</w:t>
      </w:r>
      <w:r>
        <w:t xml:space="preserve"> är placerad högst upp i Skogsstyrelsens värdepyramid för bedömning av skog med höga naturvärden och har klassificerats som en ”urskogsindikator” som kräver närmast orörda skogsmiljöer med långvarig kontinuitet av grova granlågor i olika nedbrytningsstadier (Nitare &amp; Skogsstyrelsen, 2019).</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Skuggblåslav (NT)</w:t>
      </w:r>
      <w:r>
        <w:t xml:space="preserve"> växer på silikatsten eller gamla träd i äldre naturskogar med hög luftfuktighet. Den påverkas negativt av brist på kontinuitetsskog och minskningstakten för arten bedöms vara nära gränsvärdet för sårbar (VU). Skuggblåslav är typisk art för </w:t>
      </w:r>
      <w:r>
        <w:rPr>
          <w:i/>
        </w:rPr>
        <w:t xml:space="preserve">9010 Taiga </w:t>
      </w:r>
      <w:r>
        <w:t>(Nitare &amp; Skogsstyrelsen, 2019;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r>
        <w:rPr>
          <w:b/>
        </w:rPr>
        <w:t xml:space="preserve">Strutbräken </w:t>
      </w:r>
      <w:r>
        <w:t xml:space="preserve">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dikning.Strutbräken är typisk art för </w:t>
      </w:r>
      <w:r>
        <w:rPr>
          <w:i/>
        </w:rPr>
        <w:t xml:space="preserve">9050 Näringsrik granskog, 9080 Lövsumpskog, 9750 Svämlövskog, 9760 Svämädellövskog </w:t>
      </w:r>
      <w:r>
        <w:t>och</w:t>
      </w:r>
      <w:r>
        <w:rPr>
          <w:i/>
        </w:rPr>
        <w:t xml:space="preserve"> 6430 Högörtängar</w:t>
      </w:r>
      <w:r>
        <w:t xml:space="preserve"> (Nitare &amp; Skogsstyrelsen, 2019; SLU Artdatabanken, 2025).</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26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26 naturvårdsarter varav 19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