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24279-2021 i Sorsele kommun</w:t>
      </w:r>
    </w:p>
    <w:p>
      <w:r>
        <w:t>Detta dokument behandlar höga naturvärden i avverkningsanmälan A 24279-2021 i Sorsele kommun. Denna avverkningsanmälan inkom 2021-05-20 00:00:00 och omfattar 47,2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grenlav (VU), garnlav (NT), granticka (NT),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24279-2021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7315844, E 551185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Grenlav (VU) </w:t>
      </w:r>
      <w:r>
        <w:t>förekommer i gamla boreala barrskogar med hög luftfuktighet, särskilt på stora myrar, i fjällnära skog, vid bäckar och i sumpskogar. Den är placerad högst upp i Skogsstyrelsens värdepyramid för bedömning av skog med höga naturvärden och kräver konstant hög luftfuktighet med lång kontinuitet av gamla träd och torrträd. Lokaler med arten bör undantas från skogliga skötselåtgärder och de rikaste lokalerna bör få ett permanent skydd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