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50952-2024 i Sorsele kommun</w:t>
      </w:r>
    </w:p>
    <w:p>
      <w:r>
        <w:t>Denna tillsynsbegäran behandlar höga naturvärden i avverkningsanmälan A 50952-2024 i Sorsele kommun som inkom 2024-11-06 och omfattar 93,9 ha.</w:t>
      </w:r>
    </w:p>
    <w:p>
      <w:pPr>
        <w:pStyle w:val="Caption"/>
      </w:pPr>
      <w:r>
        <w:drawing>
          <wp:inline xmlns:a="http://schemas.openxmlformats.org/drawingml/2006/main" xmlns:pic="http://schemas.openxmlformats.org/drawingml/2006/picture">
            <wp:extent cx="5486400" cy="3993194"/>
            <wp:docPr id="1" name="Picture 1"/>
            <wp:cNvGraphicFramePr>
              <a:graphicFrameLocks noChangeAspect="1"/>
            </wp:cNvGraphicFramePr>
            <a:graphic>
              <a:graphicData uri="http://schemas.openxmlformats.org/drawingml/2006/picture">
                <pic:pic>
                  <pic:nvPicPr>
                    <pic:cNvPr id="0" name="A 50952-2024 karta.png"/>
                    <pic:cNvPicPr/>
                  </pic:nvPicPr>
                  <pic:blipFill>
                    <a:blip r:embed="rId16"/>
                    <a:stretch>
                      <a:fillRect/>
                    </a:stretch>
                  </pic:blipFill>
                  <pic:spPr>
                    <a:xfrm>
                      <a:off x="0" y="0"/>
                      <a:ext cx="5486400" cy="39931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7260847, E 587909 i SWEREF 99 TM.</w:t>
      </w:r>
    </w:p>
    <w:p>
      <w:r>
        <w:t>I avverkningsanmälan finns fynd av 16 naturvårdsarter, varav 15 är rödlistade, 2 är fridlysta och 14 är typiska (T): garnlav (VU, T), gränsticka (VU, T), knärot (VU, T, §8), ostticka (VU, T), vitskaftad svartspik (VU, T), blanksvart spiklav (NT), brunpudrad nållav (NT, T), gammelgransskål (NT, T), harticka (NT, T), knottrig blåslav (NT, T), rosenticka (NT, T), rynkskinn (NT, T), rödbrun blekspik (NT, T), ullticka (NT, T), vitgrynig nållav (NT)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3755639"/>
            <wp:docPr id="2" name="Picture 2"/>
            <wp:cNvGraphicFramePr>
              <a:graphicFrameLocks noChangeAspect="1"/>
            </wp:cNvGraphicFramePr>
            <a:graphic>
              <a:graphicData uri="http://schemas.openxmlformats.org/drawingml/2006/picture">
                <pic:pic>
                  <pic:nvPicPr>
                    <pic:cNvPr id="0" name="A 50952-2024 karta knärot.png"/>
                    <pic:cNvPicPr/>
                  </pic:nvPicPr>
                  <pic:blipFill>
                    <a:blip r:embed="rId17"/>
                    <a:stretch>
                      <a:fillRect/>
                    </a:stretch>
                  </pic:blipFill>
                  <pic:spPr>
                    <a:xfrm>
                      <a:off x="0" y="0"/>
                      <a:ext cx="5486400" cy="37556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7260847, E 587909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ostticka (VU, T), vitskaftad svartspik (VU, T), brunpudrad nållav (NT, T), gammelgransskål (NT, T), harticka (NT, T), knottrig blåslav (NT, T), rosenticka (NT, T), rynkskinn (NT, T), rödbrun blekspik (NT, T), ullticka (NT,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