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och inom 8 meter från avverkningsanmälan finns fynd av 22 naturvårdsarter, varav 14 är rödlistade, 5 är fridlysta, 17 är typiska (T) och 6 är signalarter (S): fläckporing (VU, T), garnlav (VU, T), knärot (VU, T, §8), dvärgbägarlav (NT, T), gammelgransskål (NT, T), kolflarnlav (NT, T), mörk kolflarnlav (NT), nordtagging (NT), tallticka (NT, T), talltita (NT, §4), tretåig hackspett (NT, T, §4), ullticka (NT, T), vaddporing (NT), vedskivlav (NT, T), bårdlav (S, T), luddlav (S, T), skinnlav (S, T), spindelblomster (S, T, §8), stuplav (S, T), vedticka (S, T), kötticka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