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och inom 8 meter från avverkningsanmälan finns fynd av 22 naturvårdsarter, varav 14 är rödlistade, 5 är fridlysta, 17 är typiska (T) och 6 är signalarter (S): fläckporing (VU, T), garnlav (VU, T), knärot (VU, T, §8), dvärgbägarlav (NT, T), gammelgransskål (NT, T), kolflarnlav (NT, T), mörk kolflarnlav (NT), nordtagging (NT), tallticka (NT, T), talltita (NT, §4), tretåig hackspett (NT, T, §4), ullticka (NT, T), vaddporing (NT), vedskivlav (NT, T), bårdlav (S, T), luddlav (S, T), skinnlav (S, T), spindelblomster (S, T, §8), stuplav (S, T), vedticka (S, T), kötticka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gammelgransskål (NT, T), kolflarnlav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