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26970-2026 i Sorsele kommun</w:t>
      </w:r>
    </w:p>
    <w:p>
      <w:r>
        <w:t>Denna tillsynsbegäran behandlar höga naturvärden i avverkningsanmälan A 26970-2026 i Sorsele kommun som inkom 2026-06-12 och omfattar 7,5 ha.</w:t>
      </w:r>
    </w:p>
    <w:p>
      <w:pPr>
        <w:pStyle w:val="Caption"/>
      </w:pPr>
      <w:r>
        <w:drawing>
          <wp:inline xmlns:a="http://schemas.openxmlformats.org/drawingml/2006/main" xmlns:pic="http://schemas.openxmlformats.org/drawingml/2006/picture">
            <wp:extent cx="5279506" cy="5724000"/>
            <wp:docPr id="1" name="Picture 1"/>
            <wp:cNvGraphicFramePr>
              <a:graphicFrameLocks noChangeAspect="1"/>
            </wp:cNvGraphicFramePr>
            <a:graphic>
              <a:graphicData uri="http://schemas.openxmlformats.org/drawingml/2006/picture">
                <pic:pic>
                  <pic:nvPicPr>
                    <pic:cNvPr id="0" name="A 26970-2026 karta.png"/>
                    <pic:cNvPicPr/>
                  </pic:nvPicPr>
                  <pic:blipFill>
                    <a:blip r:embed="rId16"/>
                    <a:stretch>
                      <a:fillRect/>
                    </a:stretch>
                  </pic:blipFill>
                  <pic:spPr>
                    <a:xfrm>
                      <a:off x="0" y="0"/>
                      <a:ext cx="5279506"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7273348, E 623859 i SWEREF 99 TM.</w:t>
      </w:r>
    </w:p>
    <w:p>
      <w:r>
        <w:t>I och inom 25 meter från avverkningsanmälan finns fynd av 10 naturvårdsarter, varav 5 är rödlistade, 2 är fridlysta, 9 är typiska (T) och 1 är signalart (S): garnlav (VU, T), mörk kolflarnlav (NT), tretåig hackspett (NT, T, §4), ullticka (NT, T), vedskivlav (NT, T), ögonpyrola (S, T), brudborste (T), nordisk stormhatt (T), ormbär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Nordisk stormhatt</w:t>
      </w:r>
      <w:r>
        <w:t xml:space="preserve"> är typisk art för </w:t>
      </w:r>
      <w:r>
        <w:rPr>
          <w:i/>
        </w:rPr>
        <w:t xml:space="preserve">9050 Näringsrik granskog, 9040 Fjällbjörkskog </w:t>
      </w:r>
      <w:r>
        <w:t xml:space="preserve">och </w:t>
      </w:r>
      <w:r>
        <w:rPr>
          <w:i/>
        </w:rPr>
        <w:t>6430 Högörtängar</w:t>
      </w:r>
      <w:r>
        <w:t>. Stormhattsrotvecklare (NT) samt stormhattshumla, som är rödlistad som nära hotad (NT) på den europeiska rödlistan, är knuten till nordisk stormhatt</w:t>
      </w:r>
      <w:r>
        <w:rPr>
          <w:i/>
        </w:rPr>
        <w:t xml:space="preserve"> </w:t>
      </w:r>
      <w:r>
        <w:t>(SLU Artdatabanken, 2026; IUCN, 2025).</w:t>
      </w:r>
    </w:p>
    <w:p>
      <w:r>
        <w:rPr>
          <w:b/>
        </w:rPr>
        <w:t>Ormbär</w:t>
      </w:r>
      <w:r>
        <w:t xml:space="preserve"> är typisk art för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tretåig hackspett (NT, T, §4), ullticka (NT, T), vedskivlav (NT, T), ögonpyrola (S, T), brudborste (T), nordisk stormhatt (T), ormbär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