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23 naturvårdsarter, varav 16 är rödlistade, 4 är fridlysta, 17 är typiska (T) och 5 är signalarter (S): finporing (VU), garnlav (VU, T), gränsticka (VU, T), ostticka (VU, T), skuggnål (VU), vitskaftad svartspik (VU, T), gammelgransskål (NT, T), harticka (NT, T), koralltaggsvamp (NT, T), liten svartspik (NT), rosenticka (NT, T), rödbrun blekspik (NT, T), talltita (NT, §4), tretåig hackspett (NT, T, §4), ullticka (NT, T), vitgrynig nållav (NT), blodticka (S, T),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gammelgransskål (NT, T), harticka (NT, T), koralltaggsvamp (NT, T), rosenticka (NT, T), rödbrun blekspik (NT, T), tretåig hackspett (NT, T, §4), ullticka (NT, T), blodticka (S, T),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