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17180-2024 i Dorotea kommun</w:t>
      </w:r>
    </w:p>
    <w:p>
      <w:r>
        <w:t>Denna tillsynsbegäran behandlar höga naturvärden i avverkningsanmälan A 17180-2024 i Dorotea kommun som inkom 2024-04-30 och omfattar 5,6 ha.</w:t>
      </w:r>
    </w:p>
    <w:p>
      <w:pPr>
        <w:pStyle w:val="Caption"/>
      </w:pPr>
      <w:r>
        <w:drawing>
          <wp:inline xmlns:a="http://schemas.openxmlformats.org/drawingml/2006/main" xmlns:pic="http://schemas.openxmlformats.org/drawingml/2006/picture">
            <wp:extent cx="4909658" cy="5724000"/>
            <wp:docPr id="1" name="Picture 1"/>
            <wp:cNvGraphicFramePr>
              <a:graphicFrameLocks noChangeAspect="1"/>
            </wp:cNvGraphicFramePr>
            <a:graphic>
              <a:graphicData uri="http://schemas.openxmlformats.org/drawingml/2006/picture">
                <pic:pic>
                  <pic:nvPicPr>
                    <pic:cNvPr id="0" name="A 17180-2024 karta.png"/>
                    <pic:cNvPicPr/>
                  </pic:nvPicPr>
                  <pic:blipFill>
                    <a:blip r:embed="rId16"/>
                    <a:stretch>
                      <a:fillRect/>
                    </a:stretch>
                  </pic:blipFill>
                  <pic:spPr>
                    <a:xfrm>
                      <a:off x="0" y="0"/>
                      <a:ext cx="4909658"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7144422, E 551706 i SWEREF 99 TM.</w:t>
      </w:r>
    </w:p>
    <w:p>
      <w:r>
        <w:t>I och inom 21 meter från avverkningsanmälan finns fynd av 14 naturvårdsarter, varav 8 är rödlistade, 4 är fridlysta, 11 är typiska (T) och 5 är signalarter (S): garnlav (VU, T), knärot (VU, T, §8), harticka (NT, T), liten svartspik (NT), lunglav (NT, T), skrovellav (NT, T), ullticka (NT, T), vitgrynig nållav (NT), guckusko (S, T, §7), kransrams (S, T), luddlav (S, T), spindelblomster (S, T, §8), stor aspticka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0.98 ha med buffertzonerna och får av detta skäl inte avverkas.</w:t>
      </w:r>
    </w:p>
    <w:p>
      <w:pPr>
        <w:pStyle w:val="Caption"/>
      </w:pPr>
      <w:r>
        <w:drawing>
          <wp:inline xmlns:a="http://schemas.openxmlformats.org/drawingml/2006/main" xmlns:pic="http://schemas.openxmlformats.org/drawingml/2006/picture">
            <wp:extent cx="5486400" cy="8929208"/>
            <wp:docPr id="2" name="Picture 2"/>
            <wp:cNvGraphicFramePr>
              <a:graphicFrameLocks noChangeAspect="1"/>
            </wp:cNvGraphicFramePr>
            <a:graphic>
              <a:graphicData uri="http://schemas.openxmlformats.org/drawingml/2006/picture">
                <pic:pic>
                  <pic:nvPicPr>
                    <pic:cNvPr id="0" name="A 17180-2024 karta knärot.png"/>
                    <pic:cNvPicPr/>
                  </pic:nvPicPr>
                  <pic:blipFill>
                    <a:blip r:embed="rId17"/>
                    <a:stretch>
                      <a:fillRect/>
                    </a:stretch>
                  </pic:blipFill>
                  <pic:spPr>
                    <a:xfrm>
                      <a:off x="0" y="0"/>
                      <a:ext cx="5486400" cy="89292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7144422, E 551706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harticka (NT, T), lunglav (NT, T), skrovellav (NT, T), ullticka (NT, T), guckusko (S, T, §7), kransrams (S, T), luddlav (S, T), spindelblomster (S, T, §8) och stor aspticka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