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27234-2024 i Dorotea kommun</w:t>
      </w:r>
    </w:p>
    <w:p>
      <w:r>
        <w:t>Denna tillsynsbegäran behandlar höga naturvärden i avverkningsanmälan A 27234-2024 i Dorotea kommun som inkom 2024-06-28 och omfattar 2,2 ha.</w:t>
      </w:r>
    </w:p>
    <w:p>
      <w:pPr>
        <w:pStyle w:val="Caption"/>
      </w:pPr>
      <w:r>
        <w:drawing>
          <wp:inline xmlns:a="http://schemas.openxmlformats.org/drawingml/2006/main" xmlns:pic="http://schemas.openxmlformats.org/drawingml/2006/picture">
            <wp:extent cx="5486400" cy="3757524"/>
            <wp:docPr id="1" name="Picture 1"/>
            <wp:cNvGraphicFramePr>
              <a:graphicFrameLocks noChangeAspect="1"/>
            </wp:cNvGraphicFramePr>
            <a:graphic>
              <a:graphicData uri="http://schemas.openxmlformats.org/drawingml/2006/picture">
                <pic:pic>
                  <pic:nvPicPr>
                    <pic:cNvPr id="0" name="A 27234-2024 karta.png"/>
                    <pic:cNvPicPr/>
                  </pic:nvPicPr>
                  <pic:blipFill>
                    <a:blip r:embed="rId16"/>
                    <a:stretch>
                      <a:fillRect/>
                    </a:stretch>
                  </pic:blipFill>
                  <pic:spPr>
                    <a:xfrm>
                      <a:off x="0" y="0"/>
                      <a:ext cx="5486400" cy="3757524"/>
                    </a:xfrm>
                    <a:prstGeom prst="rect"/>
                  </pic:spPr>
                </pic:pic>
              </a:graphicData>
            </a:graphic>
          </wp:inline>
        </w:drawing>
      </w:r>
    </w:p>
    <w:p>
      <w:pPr>
        <w:pStyle w:val="Caption"/>
        <w:spacing w:after="240"/>
      </w:pPr>
      <w:r>
        <w:t>Figur 1. Fyndplatser för naturvårdsarter i och inom 5 meter från avverkningsanmälan. Markörer utan svart kant är placerade på fyndplatsen. Markörer med svart kant är placerade vid sidan av fyndplatsen och har ett svart streck som visar fyndplatsens exakta position. Kartans mittpunktskoordinat är N 7181128, E 522592 i SWEREF 99 TM.</w:t>
      </w:r>
    </w:p>
    <w:p>
      <w:r>
        <w:t>I och inom 5 meter från avverkningsanmälan finns fynd av 2 naturvårdsarter, varav 2 är rödlistade och 2 är typiska (T): rynkskinn (NT, T) och skrovellav (NT,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Rynkskinn (NT)</w:t>
      </w:r>
      <w:r>
        <w:t xml:space="preserve"> är en vednedbrytare som växer på grova granlågor och ingår i en karaktäristisk association av vedsvampar knutna till urskogsartade barrskogar. Den har klassificerats som en “urskogsindikator” och är placerad i toppen av Skogsstyrelsens värdepyramid för bedömning av skog med höga naturvärden. Allt tyder på att rynkskinn är mycket känslig för skogliga ingrepp och lokalerna, som oftast har höga biologiska kvaliteter, bör lämnas till fri utveckling. Rynkskinn är typisk art för </w:t>
      </w:r>
      <w:r>
        <w:rPr>
          <w:i/>
        </w:rPr>
        <w:t xml:space="preserve">9010 Taiga, 9050 Näringsrik granskog </w:t>
      </w:r>
      <w:r>
        <w:t>och</w:t>
      </w:r>
      <w:r>
        <w:rPr>
          <w:i/>
        </w:rPr>
        <w:t xml:space="preserve"> 9030 Landhöjningsskog</w:t>
      </w:r>
      <w:r>
        <w:t xml:space="preserve"> (Nitare &amp; Skogsstyrelsen, 2019; SLU Artdatabanken, 2026).</w:t>
      </w:r>
    </w:p>
    <w:p>
      <w:r>
        <w:rPr>
          <w:b/>
        </w:rPr>
        <w:t>Skrovellav (NT)</w:t>
      </w:r>
      <w:r>
        <w:t xml:space="preserve"> växer på gamla lövträd och på klippor i gamla skogar med hög och jämn luftfuktighet. Slutavverkning av kontinuitetsskog utgör det största hotet och lavens fortsatta förekomst bör säkerställas genom att lokaler med äldre skog skyddas. I områden med mycket hög luftfuktighet kan man på bålen av skrovellav finna de sällsynta parasitsvamparna skrovellavsknapp (EN), </w:t>
      </w:r>
      <w:r>
        <w:rPr>
          <w:i/>
        </w:rPr>
        <w:t>Catillaria lobariicola</w:t>
      </w:r>
      <w:r>
        <w:t xml:space="preserve"> (VU) och </w:t>
      </w:r>
      <w:r>
        <w:rPr>
          <w:i/>
        </w:rPr>
        <w:t>Merismatium lobariae</w:t>
      </w:r>
      <w:r>
        <w:t xml:space="preserve"> (DD). Skrovellav är typisk art för </w:t>
      </w:r>
      <w:r>
        <w:rPr>
          <w:i/>
        </w:rPr>
        <w:t xml:space="preserve">9010 Taiga, 9020 Nordlig ädellövskog, 9040 Fjällbjörkskog, 9070 Trädklädd betesmark, 9160 Näringsrik ekskog, 9180 Ädellövskog i branter, 9190 Näringsfattig ekskog, 8210 Kalkbranter </w:t>
      </w:r>
      <w:r>
        <w:t xml:space="preserve">och </w:t>
      </w:r>
      <w:r>
        <w:rPr>
          <w:i/>
        </w:rPr>
        <w:t>6530 Lövängar</w:t>
      </w:r>
      <w:r>
        <w:t xml:space="preserve"> (SLU Artdatabanken, 2026; Nitare &amp; Skogsstyrelsen, 2019).</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2026-10-15</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