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27557-2025 i Dorotea kommun</w:t>
      </w:r>
    </w:p>
    <w:p>
      <w:r>
        <w:t>Detta dokument behandlar höga naturvärden i avverkningsanmälan A 27557-2025 i Dorotea kommun. Denna avverkningsanmälan inkom 2025-06-05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finporing (VU), ostticka (VU), garnlav (NT), granticka (NT), gränsticka (NT), harticka (NT), koralltaggsvamp (NT), spillkråka (NT, §4), talltita (NT, §4), tretåig hackspett (NT, §4), kransrams (S), luddlav (S), stuplav (S), trådticka (S) och skogsrör (§7).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27557-2025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7174363, E 541335 i SWEREF 99 TM.</w:t>
      </w:r>
    </w:p>
    <w:p>
      <w:r>
        <w:rPr>
          <w:b/>
        </w:rPr>
        <w:t>Finporing (VU)</w:t>
      </w:r>
      <w:r>
        <w:t xml:space="preserve"> är en iögonfallande art knuten till fuktiga naturskogsartade miljöer med grova träd och mycket död ved i olika nedbrytningsstadier. Den växer på lågor av både löv- och barrträd, t.ex. gråal, björk och gran. Fruktkropparna utvecklas ofta på undersidan av djupt nedsjunkna lågor som fortfarande har barken kvar. Artens ekologi behöver klarläggas bättre. I väntan på detta måste kända växtplatser säkerställas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