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23555-2024 i Dorotea kommun</w:t>
      </w:r>
    </w:p>
    <w:p>
      <w:r>
        <w:t>Detta dokument behandlar höga naturvärden i avverkningsanmälan A 23555-2024 i Dorotea kommun. Denna avverkningsanmälan inkom 2024-06-10 00:00:00 och omfattar 16,3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garnlav (NT), spindelblomster (S, §8), vanlig groda (§6) och fläcknycklar (§8).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02938"/>
            <wp:docPr id="1" name="Picture 1"/>
            <wp:cNvGraphicFramePr>
              <a:graphicFrameLocks noChangeAspect="1"/>
            </wp:cNvGraphicFramePr>
            <a:graphic>
              <a:graphicData uri="http://schemas.openxmlformats.org/drawingml/2006/picture">
                <pic:pic>
                  <pic:nvPicPr>
                    <pic:cNvPr id="0" name="A 23555-2024 karta.png"/>
                    <pic:cNvPicPr/>
                  </pic:nvPicPr>
                  <pic:blipFill>
                    <a:blip r:embed="rId16"/>
                    <a:stretch>
                      <a:fillRect/>
                    </a:stretch>
                  </pic:blipFill>
                  <pic:spPr>
                    <a:xfrm>
                      <a:off x="0" y="0"/>
                      <a:ext cx="5486400" cy="38029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7167664, E 527589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Fridlysta arter</w:t>
      </w:r>
    </w:p>
    <w:p>
      <w:r>
        <w:t>Följande fridlysta arter har sina livsmiljöer och växtplatser i den avverkningsanmälda skogen: spindelblomster (S, §8), vanlig groda (§6) och fläcknycklar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