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kvalité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och fridlysta arter i avverkningsanmälan A 31476-2024 i Dorotea kommun</w:t>
      </w:r>
    </w:p>
    <w:p>
      <w:r>
        <w:t>Detta dokument behandlar höga naturvärden i avverkningsanmälan A 31476-2024 i Dorotea kommun. Denna avverkningsanmälan inkom 2024-08-01 och omfattar 7,0 ha.</w:t>
      </w:r>
    </w:p>
    <w:p>
      <w:r>
        <w:t>Nedan presenteras fynd av naturvårdsarter och fridlysta arter som gjorts i det avverkningsanmälda området, samt relevanta utdrag ur standarderna för FSC, Chain of Custody, Controlled Wood och PEFC. I BILAGA 1 finns artfakta om fridlysta och rödlistade arter.</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w:t>
      </w:r>
    </w:p>
    <w:p>
      <w:r>
        <w:t>I avverkningsanmälan har följande 11 naturvårdsarter hittats: ostticka (VU), garnlav (NT), granticka (NT), harticka (NT), lunglav (NT), rosenticka (NT), skrovellav (NT), tretåig hackspett (NT, §4), ullticka (NT), luddlav (S) och stuplav (S). Av dessa är 9 rödlistade. För rödlistade arter har rödlistekategorin angivits inom parentes. Arter som är signalarter enligt Skogsstyrelsen har markerats med (S). För fridlysta arter anges även paragrafen i Artskyddsförordningen som arten är fridlyst enligt.</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4357808"/>
            <wp:docPr id="1" name="Picture 1"/>
            <wp:cNvGraphicFramePr>
              <a:graphicFrameLocks noChangeAspect="1"/>
            </wp:cNvGraphicFramePr>
            <a:graphic>
              <a:graphicData uri="http://schemas.openxmlformats.org/drawingml/2006/picture">
                <pic:pic>
                  <pic:nvPicPr>
                    <pic:cNvPr id="0" name="A 31476-2024 karta.png"/>
                    <pic:cNvPicPr/>
                  </pic:nvPicPr>
                  <pic:blipFill>
                    <a:blip r:embed="rId16"/>
                    <a:stretch>
                      <a:fillRect/>
                    </a:stretch>
                  </pic:blipFill>
                  <pic:spPr>
                    <a:xfrm>
                      <a:off x="0" y="0"/>
                      <a:ext cx="5486400" cy="4357808"/>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7178902, E 525812 i SWEREF 99 TM.</w:t>
      </w:r>
    </w:p>
    <w:p>
      <w:r>
        <w:rPr>
          <w:b/>
        </w:rPr>
        <w:t>Lunglav (NT)</w:t>
      </w:r>
      <w:r>
        <w:t xml:space="preserve"> är en av vårt lands främsta signalarter som överallt indikerar gamla lövträd, skogsbestånd med höga naturvärden och ekosystem med lång skoglig kontinuitet. Lokalt kan förekomsten vara mycket riklig men den hittas nästan enbart i gamla och ej slutavverkade skogar. Artens samtliga förekomster bör uppmärksammas från naturvårdssynpunkt, då många lokaler även hyser andra ovanliga och rödlistade arter. Rikliga förekomster bör skyddas med biotopskydd, frivilliga avsättningar eller reservat (SLU Artdatabanken, 2024; Nitare &amp; Skogsstyrelsen, 2019).</w:t>
      </w:r>
    </w:p>
    <w:p>
      <w:r>
        <w:rPr>
          <w:b/>
        </w:rPr>
        <w:t xml:space="preserve">Ostticka (VU) </w:t>
      </w:r>
      <w:r>
        <w:t>växer huvudsakligen på grova granlågor i urskogsartad barrskog. Växtplatserna ligger vanligtvis i brandrefugiala områden med relativt hög luftfuktighet där skogen under lång tid haft en intern beståndsdynamik med successivt avdöende träd. Alla skogsskötselåtgärder på eller i omedelbar närhet av lokalerna inverkar negativt på artens fortlevnad (SLU Artdatabanken, 2024; Nitare &amp; Skogsstyrelsen, 2019).</w:t>
      </w:r>
    </w:p>
    <w:p>
      <w:r>
        <w:rPr>
          <w:b/>
        </w:rPr>
        <w:t>Rosenticka (NT)</w:t>
      </w:r>
      <w:r>
        <w:t>, rödlistad som nära hotad, ingår i en karaktäristisk association av vedsvampar som växer på gamla, grova granlågor i urskogsartade barrskogar. Den är placerad i toppen av Skogsstyrelsens värdepyramid för bedömning av skog med höga naturvärden och indikerar ett granskogsekosystem med långvarig kontinuitet av grova lågor. Artens beroende av grova granlågor innebär att alla skogsskötselåtgärder på eller i omedelbar närhet av lokalerna utgör ett hot på lång sikt. Det är angeläget att populationerna inte ytterligare glesas ut och ett tillräckligt antal områden där arten nu finns måste sparas för framtiden (Nitare &amp; Skogsstyrelsen, 2019; SLU Artdatabanken, 2024).</w:t>
      </w:r>
    </w:p>
    <w:p>
      <w:r>
        <w:rPr>
          <w:b/>
        </w:rPr>
        <w:t>Skrovellav (NT)</w:t>
      </w:r>
      <w:r>
        <w:t xml:space="preserve"> växer på gamla lövträd och på klippor i gamla skogar med hög och jämn luftfuktighet. Slutavverkning av kontinuitetsskog utgör det största hotet och lavens fortsatta förekomst bör säkerställas genom att lokaler med äldre skog skyddas. I områden med mycket hög luftfuktighet kan man på bålen av skrovellav finna en sällsynt parasitsvamp med rödbruna apothecier, skrovellavsknapp </w:t>
      </w:r>
      <w:r>
        <w:rPr>
          <w:i/>
        </w:rPr>
        <w:t>Plectocarpon scrobiculatae</w:t>
      </w:r>
      <w:r>
        <w:t xml:space="preserve"> (EN) (SLU Artdatabanken, 2024; Nitare &amp; Skogsstyrelsen, 2019).</w:t>
      </w:r>
    </w:p>
    <w:p>
      <w:r>
        <w:rPr>
          <w:b/>
        </w:rPr>
        <w:t>Stuplav</w:t>
      </w:r>
      <w:r>
        <w:t xml:space="preserve"> är en mycket bra signalart i hela sitt utbredningsområde och förekommer nästan enbart i skogsmiljöer med höga naturvärden. Den indikerar långvarig förekomst av gamla lövträd och miljöer med konstant hög luftfuktighet. I skogar med suboceaniskt klimat finns det en mycket sällsynt parasit, njurlavsknapp </w:t>
      </w:r>
      <w:r>
        <w:rPr>
          <w:i/>
        </w:rPr>
        <w:t>Pletocarpon nephromeum</w:t>
      </w:r>
      <w:r>
        <w:t xml:space="preserve"> (EN), som växer på stuplav (SLU Artdatabanken, 2024; Nitare &amp; Skogsstyrelsen, 2019).</w:t>
      </w:r>
    </w:p>
    <w:p>
      <w:pPr>
        <w:pStyle w:val="Heading1"/>
      </w:pPr>
      <w:r>
        <w:t>Fridlysta arter</w:t>
      </w:r>
    </w:p>
    <w:p>
      <w:r>
        <w:t>Följande fridlysta arter har sina livsmiljöer och växtplatser i den avverkningsanmälda skogen: tretåig hackspett (NT, §4).</w:t>
      </w:r>
    </w:p>
    <w:p>
      <w:r>
        <w:t xml:space="preserve">Observera att medlemsländerna är skyldiga att agera i enlighet med EU:s fågeldirektiv där det uttryckligen står att direktivet gäller för fåglar samt för deras ägg, bon och </w:t>
      </w:r>
      <w:r>
        <w:rPr>
          <w:b/>
        </w:rPr>
        <w:t xml:space="preserve">livsmiljöer </w:t>
      </w:r>
      <w:r>
        <w:t>(artikel 1). Vidare att de åtgärder som vidtas inte får leda till en försämring av den nuvarande situationen beträffande bevarandet av de fågelarter som avses i artikel 1 (artikel 13). Fågeldirektivet är styrande för tillsynsansvariga myndigheters ärendehantering, ställningstaganden och beslutsfattande.</w:t>
      </w:r>
    </w:p>
    <w:p>
      <w:r>
        <w:rPr>
          <w:b/>
        </w:rPr>
        <w:t>Tretåig hackspett (NT, §4)</w:t>
      </w:r>
      <w:r>
        <w:t xml:space="preserve"> är rödlistad som nära hotad och ingår i bilaga 1 i EU:s fågeldirektiv. Tretåig hackspett är för sin överlevnad beroende av kontinuerlig tillförsel av äldre döende och död ved, som sker genom naturliga självgallringsprocesser i äldre grannaturskogar och barrblandade naturskogar. Om en skog genom skogsbruk gallras eller glesas ur så upphör och uteblir i stort sett den naturliga självgallringsprocessen för mycket lång tid framöver vilket omöjliggör upprätthållandet av den kontinuerliga ekologiska funktionen i ett område. Det finns studier som visar att naturskogens självgallringsprocess som den tretåiga hackspetten är beroende av, inte kan ersättas med efterlämnad hänsyn i skogsbruket (Imbeau &amp; Desrochers, 2002). Storleken på häckningsreviret varierar med skogstypen, förekomsten av död ved och graden av fragmentering, men är i allmänhet i storleksordningen 25–100 hektar. Vintertid krävs ofta betydligt större områden och det finns studier som antyder att arten behöver minst 100 hektar äldre skog. I områden med låg bonitet kan det behövas över 200 hektar lämpligt habitat för att ett par ska kunna reproducera sig (Skogsstyrelsen, 2016).</w:t>
      </w:r>
    </w:p>
    <w:p>
      <w:r>
        <w:t>I BILAGA 1 finns mer detaljerad information om ekologi samt krav på livsmiljö hos fridlysta arter.</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r>
        <w:rPr>
          <w:i/>
        </w:rPr>
        <w:t xml:space="preserve"> EU:s medlemsländer och skogsbolag är skyldiga att agera i enlighet med EU:s fågeldirektiv där det uttryckligen står att direktivet gäller för fåglar samt för deras ägg, bon och </w:t>
      </w:r>
      <w:r>
        <w:rPr>
          <w:b/>
          <w:i/>
        </w:rPr>
        <w:t xml:space="preserve">livsmiljöer </w:t>
      </w:r>
      <w:r>
        <w:t>(artikel 1). Vidare att de åtgärder som vidtas inte får leda till en försämring av den nuvarande situationen beträffande bevarandet av de fågelarter som avses i artikel 1 (artikel 13).</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11 naturvårdsarter varav 9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p>
      <w:r>
        <w:br w:type="page"/>
      </w:r>
    </w:p>
    <w:p>
      <w:pPr>
        <w:pStyle w:val="Title"/>
      </w:pPr>
      <w:r>
        <w:t>BILAGA 1 –</w:t>
        <w:br/>
        <w:t>Fridlysta och rödlistade arter</w:t>
      </w:r>
    </w:p>
    <w:p>
      <w:pPr>
        <w:pStyle w:val="Heading1"/>
      </w:pPr>
      <w:r>
        <w:t>Lunglav – ekologi samt krav på livsmiljön</w:t>
      </w:r>
    </w:p>
    <w:p>
      <w:r>
        <w:t>Lunglav (NT) är en av vårt lands främsta signalarter som överallt indikerar gamla lövträd, skogsbestånd med höga naturvärden och ekosystem med lång skoglig kontinuitet. Lokalt kan förekomsten vara mycket riklig men den hittas nästan enbart i gamla och ej slutavverkade skogar. Artens samtliga förekomster bör uppmärksammas från naturvårdssynpunkt, då många lokaler även hyser andra ovanliga och rödlistade arter. Rikliga förekomster bör skyddas med biotopskydd, frivilliga avsättningar eller reservat (SLU Artdatabanken, 2024; Nitare &amp; Skogsstyrelsen, 2019).</w:t>
      </w:r>
    </w:p>
    <w:p>
      <w:r>
        <w:t xml:space="preserve">På lunglav kan man sällsynt finna små svarta skivlika bildningar som liknar apothecier men som är en parasitisk svamp, Lunglavsknapp </w:t>
      </w:r>
      <w:r>
        <w:rPr>
          <w:i/>
        </w:rPr>
        <w:t>Plectocarpon lichenum</w:t>
      </w:r>
      <w:r>
        <w:t xml:space="preserve"> (VU). Det finns ytterligare två rödlistade parasiter vilka bara förekommer på lunglav, Skrovelmössing </w:t>
      </w:r>
      <w:r>
        <w:rPr>
          <w:i/>
        </w:rPr>
        <w:t>Dactylospora lobariella</w:t>
      </w:r>
      <w:r>
        <w:t xml:space="preserve"> (rödlistad som Kunskapsbrist DD) och Lunglavshårprick </w:t>
      </w:r>
      <w:r>
        <w:rPr>
          <w:i/>
        </w:rPr>
        <w:t>Niesslia lobariae</w:t>
      </w:r>
      <w:r>
        <w:t xml:space="preserve"> (rödlistad som Kunskapsbrist DD). Skrovelmössing (DD) har små svarta apothecier och bruna, 1-septerade sporer och Lunglavshårprick (DD) har brunhåriga perithecier och färglösa, 1-septerade sporer (SLU Artdatabanken, 2024; Nitare &amp; Skogsstyrelsen, 2019).</w:t>
      </w:r>
    </w:p>
    <w:p>
      <w:pPr>
        <w:pStyle w:val="Heading2"/>
      </w:pPr>
      <w:r>
        <w:t>Referenser – lunglav</w:t>
      </w:r>
    </w:p>
    <w:p>
      <w:r>
        <w:t xml:space="preserve">Nitare, J. och Skogsstyrelsen, 2019. </w:t>
      </w:r>
      <w:r>
        <w:rPr>
          <w:i/>
        </w:rPr>
        <w:t xml:space="preserve">Skyddsvärd skog – Naturvårdsarter och andra kriterier för naturvärdesbedömning. </w:t>
      </w:r>
      <w:r>
        <w:t>Skogsstyrelsen.</w:t>
      </w:r>
    </w:p>
    <w:p>
      <w:r>
        <w:t xml:space="preserve">SLU Artdatabanken, 2024. </w:t>
      </w:r>
      <w:r>
        <w:rPr>
          <w:i/>
        </w:rPr>
        <w:t xml:space="preserve">Artfaktablad. Naturvård – artfakta. </w:t>
      </w:r>
      <w:r>
        <w:t>SLU Artdatabanken, Uppsala.</w:t>
      </w:r>
    </w:p>
    <w:p>
      <w:pPr>
        <w:pStyle w:val="Heading1"/>
      </w:pPr>
      <w:r>
        <w:t>Tretåig hackspett – ekologi samt krav på livsmiljön</w:t>
      </w:r>
    </w:p>
    <w:p>
      <w:r>
        <w:t xml:space="preserve">Tretåig hackspett (NT) är fridlyst enligt §4 Artskyddsförordningen och finns med som prioriterad art i Skogsstyrelsen vägledning för skogsbruket (bilaga 4 till SVL). I vägledningen står bland annat att: </w:t>
      </w:r>
      <w:r>
        <w:rPr>
          <w:i/>
        </w:rPr>
        <w:t xml:space="preserve">“Tretåig hackspett har stora arealkrav och höga krav på sin livsmiljö. Omdaningen av naturskogar till kulturskogar medför en förlust av viktiga miljöer, något som förstärks av ökad fragmentering till följd av avverkningar.” </w:t>
      </w:r>
      <w:r>
        <w:t xml:space="preserve">Vidare att: </w:t>
      </w:r>
      <w:r>
        <w:rPr>
          <w:i/>
        </w:rPr>
        <w:t>“Områden med dokumenterad permanent förekomst i naturskogsmiljöer har vanligen så stora naturvärden att skogsbruk är olämpligt”.</w:t>
      </w:r>
    </w:p>
    <w:p>
      <w:r>
        <w:t>Tretåig hackspett är beroende av större sammanhängande naturskogar med kontinuerlig tillgång och nybildning av död ved och fragmentering av livsmiljöerna utgör ett stort hot mot arten (se exempelvis Stachura-Skierczynska et al., 2009; Wesolowski et al., 2005; Butler et al., 2004; Pakkala et al., 2002; Amcoff et al., 1996; Virkkala, 1991). Det finns studier som visar att naturskogens självgallringsprocess som den tretåiga hackspetten är beroende av, inte kan ersättas med efterlämnad hänsyn i skogsbruket (Imbeau &amp; Desrochers, 2002).</w:t>
      </w:r>
    </w:p>
    <w:p>
      <w:r>
        <w:t xml:space="preserve">Permanenta revir av tretåig hackspett karaktäriseras ofta av artens typiska ringformigt ordnade hackmärken på framför allt gamla granar. För att säkerställa att inte revir av tretåig hackspett drabbas av avverkningsplanerna bör en inventering göras i området både under häckningstid och under vintern, då arten utnyttjar betydligt större områden än under sommarens häckningsrevir. Storleken på häckningsreviret varierar med skogstypen, förekomsten av död ved och graden av fragmentering, men är i allmänhet i storleksordningen 25–100 hektar. </w:t>
      </w:r>
    </w:p>
    <w:p>
      <w:r>
        <w:t>Förutom fridlysning enligt §4 Artskyddsförordningen är tretåig hackspett även förtecknad i EU:s fågeldirektiv bilaga 1. Den ingår också i Natura 2000 och är förtecknad i Bernkonventionen bilaga II (strikt skyddade djurarter).</w:t>
      </w:r>
    </w:p>
    <w:p>
      <w:pPr>
        <w:pStyle w:val="Heading2"/>
      </w:pPr>
      <w:r>
        <w:t>Referenser – tretåig hackspett</w:t>
      </w:r>
    </w:p>
    <w:p>
      <w:r>
        <w:t xml:space="preserve">Amcoff, M. &amp; Eriksson, P. 1996. </w:t>
      </w:r>
      <w:r>
        <w:rPr>
          <w:i/>
        </w:rPr>
        <w:t xml:space="preserve">Förekomst av tretåig hackspett Picoides tridactylus på bestånds- och landskapsnivå. </w:t>
      </w:r>
      <w:r>
        <w:t>Ornis Svecica 6: 107–119</w:t>
      </w:r>
    </w:p>
    <w:p>
      <w:r>
        <w:t xml:space="preserve">Butler, R., Angelstam, P., Ekelund, P. &amp; Schlaeffer, R. 2004. </w:t>
      </w:r>
      <w:r>
        <w:rPr>
          <w:i/>
        </w:rPr>
        <w:t xml:space="preserve">Dead wood threshold values for the three-toed woodpecker presence in boreal and sub-Alpine forest. </w:t>
      </w:r>
      <w:r>
        <w:t>Biological conservation 119(3): 305–318</w:t>
      </w:r>
    </w:p>
    <w:p>
      <w:r>
        <w:t xml:space="preserve">Imbeau, L. &amp; Desrochers, A. 2002. </w:t>
      </w:r>
      <w:r>
        <w:rPr>
          <w:i/>
        </w:rPr>
        <w:t xml:space="preserve">Foraging Ecology and Use of Drumming Trees by Three-Toed Woodpeckers. </w:t>
      </w:r>
      <w:r>
        <w:t>The Journal of Wildlife Management. Vol. 66, No. 1 (Jan., 2002), pp. 222–231.</w:t>
      </w:r>
    </w:p>
    <w:p>
      <w:r>
        <w:t xml:space="preserve">Pakkala, T., Hanski, I. &amp; Tomppo, E. 2002. </w:t>
      </w:r>
      <w:r>
        <w:rPr>
          <w:i/>
        </w:rPr>
        <w:t xml:space="preserve">Spatial ecology of the three-toed woodpecker in managed forest landscapes. </w:t>
      </w:r>
      <w:r>
        <w:t>Silva Fennica 36(1): 279–288.</w:t>
      </w:r>
    </w:p>
    <w:p>
      <w:r>
        <w:t xml:space="preserve">Skogsstyrelsen, 2016. </w:t>
      </w:r>
      <w:r>
        <w:rPr>
          <w:i/>
        </w:rPr>
        <w:t xml:space="preserve">Vägledning för hänsyn till fåglar – Tretåig hackspett. </w:t>
      </w:r>
      <w:r>
        <w:t>www.skogsstyrelsen.se</w:t>
      </w:r>
    </w:p>
    <w:p>
      <w:r>
        <w:t xml:space="preserve">Stachura-Skierczynska, K., Tumiel, T. &amp; Skierczynski, M. 2009. </w:t>
      </w:r>
      <w:r>
        <w:rPr>
          <w:i/>
        </w:rPr>
        <w:t xml:space="preserve">Habitat prediction model for three-toed woodpecker and its implications for the conservation of biologically valuable forests. </w:t>
      </w:r>
      <w:r>
        <w:t>Forest Ecology and Management 258(5): 697–703.</w:t>
      </w:r>
    </w:p>
    <w:p>
      <w:r>
        <w:t xml:space="preserve">Virkkala, R. 1991. </w:t>
      </w:r>
      <w:r>
        <w:rPr>
          <w:i/>
        </w:rPr>
        <w:t xml:space="preserve">Population trends of forest birds in a Finnish Lapland landscape of large habitat blocks – Consequences of stochastic environmental variation or regional habitat alteration. </w:t>
      </w:r>
      <w:r>
        <w:t>Biological conservation 56(2): 223–240</w:t>
      </w:r>
    </w:p>
    <w:p>
      <w:r>
        <w:t xml:space="preserve">Wesolowski, T., Czeszczewik, D. &amp; Rowinski, P. 2005. </w:t>
      </w:r>
      <w:r>
        <w:rPr>
          <w:i/>
        </w:rPr>
        <w:t xml:space="preserve">Effects of forest management on Three-toed Woodpecker Picoides tridactylus distribution in the Bialowieza Forest (NE Poland): conservation implications. </w:t>
      </w:r>
      <w:r>
        <w:t>Acta Ornithologica 40(1): 53–60.</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2025-03-20</w:t>
      <w:br/>
      <w:br/>
    </w:r>
    <w:r>
      <w:t>Till: SCA</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