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27557-2025 i Dorotea kommun</w:t>
      </w:r>
    </w:p>
    <w:p>
      <w:r>
        <w:t>Detta dokument behandlar höga naturvärden i avverkningsanmälan A 27557-2025 i Dorotea kommun. Denna avverkningsanmälan inkom 2025-06-05 00:00:00 och omfattar 20,7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15 naturvårdsarter hittats: finporing (VU), ostticka (VU), garnlav (NT), granticka (NT), gränsticka (NT), harticka (NT), koralltaggsvamp (NT), spillkråka (NT, §4), talltita (NT, §4), tretåig hackspett (NT, §4), kransrams (S), luddlav (S), stuplav (S), trådticka (S) och skogsrör (§7). Av dessa är 10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49335"/>
            <wp:docPr id="1" name="Picture 1"/>
            <wp:cNvGraphicFramePr>
              <a:graphicFrameLocks noChangeAspect="1"/>
            </wp:cNvGraphicFramePr>
            <a:graphic>
              <a:graphicData uri="http://schemas.openxmlformats.org/drawingml/2006/picture">
                <pic:pic>
                  <pic:nvPicPr>
                    <pic:cNvPr id="0" name="A 27557-2025 karta.png"/>
                    <pic:cNvPicPr/>
                  </pic:nvPicPr>
                  <pic:blipFill>
                    <a:blip r:embed="rId16"/>
                    <a:stretch>
                      <a:fillRect/>
                    </a:stretch>
                  </pic:blipFill>
                  <pic:spPr>
                    <a:xfrm>
                      <a:off x="0" y="0"/>
                      <a:ext cx="5486400" cy="40493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7174363, E 541335 i SWEREF 99 TM.</w:t>
      </w:r>
    </w:p>
    <w:p>
      <w:r>
        <w:rPr>
          <w:b/>
        </w:rPr>
        <w:t>Finporing (VU)</w:t>
      </w:r>
      <w:r>
        <w:t xml:space="preserve"> är en iögonfallande art knuten till fuktiga naturskogsartade miljöer med grova träd och mycket död ved i olika nedbrytningsstadier. Den växer på lågor av både löv- och barrträd, t.ex. gråal, björk och gran. Fruktkropparna utvecklas ofta på undersidan av djupt nedsjunkna lågor som fortfarande har barken kvar. Artens ekologi behöver klarläggas bättre. I väntan på detta måste kända växtplatser säkerställas (SLU Artdatabanken, 2024).</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Harticka (NT)</w:t>
      </w:r>
      <w:r>
        <w:t xml:space="preserve"> är normalt en mycket bra signalart för granskogar med höga naturvärden. Även när svampen påträffas i mer påverkade skogar är det nästan alltid fråga om skogsmiljöer i sena successionsstadier med höga naturvärden. Skogsskötselåtgärder på eller i omedelbar närhet av växtplatserna kan innebära ett hot mot arten (SLU Artdatabanken, 2024; Nitare &amp; Skogsstyrelsen, 2019).</w:t>
      </w:r>
    </w:p>
    <w:p>
      <w:r>
        <w:rPr>
          <w:b/>
        </w:rPr>
        <w:t>Koralltaggsvamp (NT)</w:t>
      </w:r>
      <w:r>
        <w:t xml:space="preserve"> är i hela landet en mycket bra signalart som nästan enbart påträffas i skogsområden med höga naturvärden. Arten hotas av brist på död ved. Ingrepp som innebär att lågor och döda eller skadade träd tas bort missgynnar arten. En slutavverkning, skoglig gallring eller annat uttag av virke på växtplatsen som ger ett förändrat lokalklimat innebär ett direkt hot liksom överföring av lövskog till barrskog (SLU Artdatabanken, 2024; Nitare &amp; Skogsstyrelsen, 2019).</w:t>
      </w:r>
    </w:p>
    <w:p>
      <w:r>
        <w:rPr>
          <w:b/>
        </w:rPr>
        <w:t xml:space="preserve">Ostticka (VU) </w:t>
      </w:r>
      <w:r>
        <w:t>växer huvudsakligen på grova granlågor i urskogsartad barrskog. Växtplatserna ligger vanligtvis i brandrefugiala områden med relativt hög luftfuktighet där skogen under lång tid haft en intern beståndsdynamik med successivt avdöende träd. Alla skogsskötselåtgärder på eller i omedelbar närhet av lokalerna inverkar negativt på artens fortlevnad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pPr>
        <w:pStyle w:val="Heading1"/>
      </w:pPr>
      <w:r>
        <w:t>Fridlysta arter</w:t>
      </w:r>
    </w:p>
    <w:p>
      <w:r>
        <w:t>Följande fridlysta arter har sina livsmiljöer och växtplatser i den avverkningsanmälda skogen: spillkråka (NT, §4), talltita (NT, §4), tretåig hackspett (NT, §4) och skogsrör (§7).</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Skogsrör (§7)</w:t>
      </w:r>
      <w:r>
        <w:t xml:space="preserve"> är strikt skyddad enligt EU:s art- och habitatdirektiv och fridlyst enligt §7 Artskyddsförordningen (bilaga 1) vilket innebär att hela dess livsmiljö ska bevaras. Arten är en svensk-norsk endem som förekommer sparsamt till sällsynt i mellersta Norrland, i såväl lågland som fjällnära delar. Den är något kalkgynnad och växer i fuktiga-friska, gärna sluttande och rika skogar, både gran-, bland och björkskogar, i myrkanter samt längs vattendrag och raviner. Skogsrör är känslig för dränering och på dikade lokaler bör hydrologin återställas (SLU Artdatabanken, 2024).</w:t>
      </w: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15 naturvårdsarter varav 10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2025-11-25</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