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24922-2019 i Vännäs kommun</w:t>
      </w:r>
    </w:p>
    <w:p>
      <w:r>
        <w:t>Detta dokument behandlar höga naturvärden i avverkningsanmälan A 24922-2019 i Vännäs kommun. Denna avverkningsanmälan inkom 2019-05-14 och omfattar 4,0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blackticka (VU), rynkskinn (VU), ulltickeporing (VU), gammelgransskål (NT), garnlav (NT), granticka (NT), järpe (NT, §4), tretåig hackspett (NT, §4) och ullticka (NT). Av dessa är 9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74024"/>
            <wp:docPr id="1" name="Picture 1"/>
            <wp:cNvGraphicFramePr>
              <a:graphicFrameLocks noChangeAspect="1"/>
            </wp:cNvGraphicFramePr>
            <a:graphic>
              <a:graphicData uri="http://schemas.openxmlformats.org/drawingml/2006/picture">
                <pic:pic>
                  <pic:nvPicPr>
                    <pic:cNvPr id="0" name="A 24922-2019 karta.png"/>
                    <pic:cNvPicPr/>
                  </pic:nvPicPr>
                  <pic:blipFill>
                    <a:blip r:embed="rId16"/>
                    <a:stretch>
                      <a:fillRect/>
                    </a:stretch>
                  </pic:blipFill>
                  <pic:spPr>
                    <a:xfrm>
                      <a:off x="0" y="0"/>
                      <a:ext cx="5486400" cy="42740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7088313, E 734940 i SWEREF 99 TM.</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pPr>
        <w:pStyle w:val="Heading1"/>
      </w:pPr>
      <w:r>
        <w:t>Fridlysta arter</w:t>
      </w:r>
    </w:p>
    <w:p>
      <w:r>
        <w:t>Följande fridlysta arter har sina livsmiljöer och växtplatser i den avverkningsanmälda skogen: järpe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t xml:space="preserve">Ulltickeporingen har nyligen delats upp i tre olika arter: </w:t>
      </w:r>
      <w:r>
        <w:rPr>
          <w:i/>
        </w:rPr>
        <w:t xml:space="preserve">Skeletocutis brevispora </w:t>
      </w:r>
      <w:r>
        <w:t>(ulltickeporing)</w:t>
      </w:r>
      <w:r>
        <w:rPr>
          <w:i/>
        </w:rPr>
        <w:t>, Skeletocutis delicata och Skeletocutis exilis</w:t>
      </w:r>
      <w:r>
        <w:t xml:space="preserve"> (Miettinen &amp; Niemelä, 2018). Skeletocutis delicata och Skeletocutis exilis står för närvarande (2020) som ej bedömda i rödlistan.</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