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59033-2024 i Vilhelmina kommun</w:t>
      </w:r>
    </w:p>
    <w:p>
      <w:r>
        <w:t>Detta klagomål behandlar höga naturvärden i avverkningsanmälan A 59033-2024 i Vilhelmina kommun som inkom 2024-12-10 och omfattar 22,0 ha.</w:t>
      </w:r>
    </w:p>
    <w:p>
      <w:pPr>
        <w:pStyle w:val="Caption"/>
      </w:pPr>
      <w:r>
        <w:drawing>
          <wp:inline xmlns:a="http://schemas.openxmlformats.org/drawingml/2006/main" xmlns:pic="http://schemas.openxmlformats.org/drawingml/2006/picture">
            <wp:extent cx="4976648" cy="5724000"/>
            <wp:docPr id="1" name="Picture 1"/>
            <wp:cNvGraphicFramePr>
              <a:graphicFrameLocks noChangeAspect="1"/>
            </wp:cNvGraphicFramePr>
            <a:graphic>
              <a:graphicData uri="http://schemas.openxmlformats.org/drawingml/2006/picture">
                <pic:pic>
                  <pic:nvPicPr>
                    <pic:cNvPr id="0" name="A 59033-2024 karta.png"/>
                    <pic:cNvPicPr/>
                  </pic:nvPicPr>
                  <pic:blipFill>
                    <a:blip r:embed="rId16"/>
                    <a:stretch>
                      <a:fillRect/>
                    </a:stretch>
                  </pic:blipFill>
                  <pic:spPr>
                    <a:xfrm>
                      <a:off x="0" y="0"/>
                      <a:ext cx="4976648" cy="5724000"/>
                    </a:xfrm>
                    <a:prstGeom prst="rect"/>
                  </pic:spPr>
                </pic:pic>
              </a:graphicData>
            </a:graphic>
          </wp:inline>
        </w:drawing>
      </w:r>
    </w:p>
    <w:p>
      <w:pPr>
        <w:pStyle w:val="Caption"/>
        <w:spacing w:after="240"/>
      </w:pPr>
      <w:r>
        <w:t>Figur 1. Fyndplatser för naturvårdsarter i och inom 16 meter från avverkningsanmälan. Markörer utan svart kant är placerade på fyndplatsen. Markörer med svart kant är placerade vid sidan av fyndplatsen har ett svart streck som visar fyndplatsens exakta position. Kartans mittpunktskoordinat är N 7234776, E 533017 i SWEREF 99 TM.</w:t>
      </w:r>
    </w:p>
    <w:p>
      <w:r>
        <w:t>I och inom 16 meter från avverkningsanmälan finns fynd av 25 naturvårdsarter, varav 16 är rödlistade, 4 är fridlysta, 20 är typiska (T) och 9 är signalarter (S): garnlav (VU, T), grantickeporing (VU), gränsticka (VU, T), skuggnål (VU), tajgaskinn (VU), doftskinn (NT, T), gammelgransskål (NT, T), harticka (NT, T), knottrig blåslav (NT, T), lunglav (NT, T), rödbrun blekspik (NT, T), skrovellav (NT, T), talltita (NT, §4), tretåig hackspett (NT, T, §4), ullticka (NT, T), vitgrynig nållav (NT), barkkornlav (S, T), bronshjon (S, T), bårdlav (S, T), korallblylav (S, T), luddlav (S, T), plattlummer (S, T, §9), skinnlav (S, T), spindelblomster (S, T, §8) och stuplav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Grantickeporing (VU)</w:t>
      </w:r>
      <w:r>
        <w:t xml:space="preserve"> växer på murken ved och döda fruktkroppar av granticka och gränsticka (VU). Den förekommer i naturskogsliknade granskogar, gärna i fuktiga miljöer vid källbäckar och liknande. Avverkning av naturskogslika miljöer och av grova granar där grantickeporing förekommer är ett direkt hot mot artens fortlevnad. Gamla granskogar som hyser arten undantas helt från skogsbruk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 xml:space="preserve">Skuggnål (VU) </w:t>
      </w:r>
      <w:r>
        <w:t>växer främst vid basen av gamla grova granar i gamla boreala barrskogar med hög bonitet och mycket hög luftfuktighet. Minskningstakten har uppgått till 30 (20–50) % under de senaste 50 åren och överstiger gränsvärdet för Sårbar (VU) enligt A-kriteriet. (A2bc+4bc). Vid skogliga inventeringar är skuggnål en art som måste eftersökas och dess växtplatser ska bedömas som nyckelbiotoper (SLU Artdatabanken, 2024).</w:t>
      </w:r>
    </w:p>
    <w:p>
      <w:r>
        <w:rPr>
          <w:b/>
        </w:rPr>
        <w:t>Tajgaskinn (VU)</w:t>
      </w:r>
      <w:r>
        <w:t xml:space="preserve"> är placerad högst upp i Skogsstyrelsens värdepyramid för bedömning av skog med höga naturvärden och har klassificerats som en ”urskogsindikator” som kräver närmast orörda skogsmiljöer med långvarig kontinuitet av grova granlågor i olika nedbrytningsstadier (Nitare &amp; Skogsstyrelsen, 2019).</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är typisk art för </w:t>
      </w:r>
      <w:r>
        <w:rPr>
          <w:i/>
        </w:rPr>
        <w:t xml:space="preserve">9010 Taiga, 9020 Nordlig ädellövskog, 9070 Trädklädd betesmark, 9160 Näringsrik ekskog </w:t>
      </w:r>
      <w:r>
        <w:t xml:space="preserve">och </w:t>
      </w:r>
      <w:r>
        <w:rPr>
          <w:i/>
        </w:rPr>
        <w:t>9180 Ädellövskog i branter</w:t>
      </w:r>
      <w:r>
        <w:t xml:space="preserve"> och signalerar alltid höga naturvärden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Barkkornlav</w:t>
      </w:r>
      <w:r>
        <w:t xml:space="preserve"> växer på bark av bl.a. gran, ek, al, asp, rönn, sälg och en i ädellövskogar, granskogar, barr- och lövblandskogar med hög luftfuktighet. Barkkornlav är typisk art för </w:t>
      </w:r>
      <w:r>
        <w:rPr>
          <w:i/>
        </w:rPr>
        <w:t>9190 Näringsfattig ekskog</w:t>
      </w:r>
      <w:r>
        <w:t xml:space="preserve"> (SLU Artdatabanken, 2025).</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(VU, §8) och mellanlummer (VU, §9), vilka båda omfattas av EU:s art- och habitatdirektiv. Plattlummer är typisk art för </w:t>
      </w:r>
      <w:r>
        <w:rPr>
          <w:i/>
        </w:rPr>
        <w:t xml:space="preserve">9010 Taiga </w:t>
      </w:r>
      <w:r>
        <w:t>och</w:t>
      </w:r>
      <w:r>
        <w:rPr>
          <w:i/>
        </w:rPr>
        <w:t xml:space="preserve"> 2320 Rissandhedar </w:t>
      </w:r>
      <w:r>
        <w:t>(Nitare &amp; Skogsstyrelsen, 2019; SLU Artdatabanken, 2025).</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25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25 naturvårdsarter varav 16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2026-06-29</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