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59019-2024 i Vilhelmina kommun</w:t>
      </w:r>
    </w:p>
    <w:p>
      <w:r>
        <w:t>Detta klagomål behandlar höga naturvärden i avverkningsanmälan A 59019-2024 i Vilhelmina kommun som inkom 2024-12-10 och omfattar 22,1 ha.</w:t>
      </w:r>
    </w:p>
    <w:p>
      <w:pPr>
        <w:pStyle w:val="Caption"/>
      </w:pPr>
      <w:r>
        <w:drawing>
          <wp:inline xmlns:a="http://schemas.openxmlformats.org/drawingml/2006/main" xmlns:pic="http://schemas.openxmlformats.org/drawingml/2006/picture">
            <wp:extent cx="5486400" cy="5041182"/>
            <wp:docPr id="1" name="Picture 1"/>
            <wp:cNvGraphicFramePr>
              <a:graphicFrameLocks noChangeAspect="1"/>
            </wp:cNvGraphicFramePr>
            <a:graphic>
              <a:graphicData uri="http://schemas.openxmlformats.org/drawingml/2006/picture">
                <pic:pic>
                  <pic:nvPicPr>
                    <pic:cNvPr id="0" name="A 59019-2024 karta.png"/>
                    <pic:cNvPicPr/>
                  </pic:nvPicPr>
                  <pic:blipFill>
                    <a:blip r:embed="rId16"/>
                    <a:stretch>
                      <a:fillRect/>
                    </a:stretch>
                  </pic:blipFill>
                  <pic:spPr>
                    <a:xfrm>
                      <a:off x="0" y="0"/>
                      <a:ext cx="5486400" cy="5041182"/>
                    </a:xfrm>
                    <a:prstGeom prst="rect"/>
                  </pic:spPr>
                </pic:pic>
              </a:graphicData>
            </a:graphic>
          </wp:inline>
        </w:drawing>
      </w:r>
    </w:p>
    <w:p>
      <w:pPr>
        <w:pStyle w:val="Caption"/>
        <w:spacing w:after="240"/>
      </w:pPr>
      <w:r>
        <w:t>Figur 1. Fyndplatser för naturvårdsarter i och inom 13 meter från avverkningsanmälan. Markörer utan svart kant är placerade på fyndplatsen. Markörer med svart kant är placerade vid sidan av fyndplatsen och har ett svart streck som visar fyndplatsens exakta position. Kartans mittpunktskoordinat är N 7208489, E 520446 i SWEREF 99 TM.</w:t>
      </w:r>
    </w:p>
    <w:p>
      <w:r>
        <w:t>I och inom 13 meter från avverkningsanmälan finns fynd av 16 naturvårdsarter, varav 13 är rödlistade, 5 är fridlysta, 12 är typiska (T) och 3 är signalarter (S): garnlav (VU, T), gränsticka (VU, T), hökuggla (VU, §4), vitskaftad svartspik (VU, T), brunklöver (NT), enkelbeckasin (NT, §4), gammelgransskål (NT, T), harticka (NT, T), lavskrika (NT, T, §4), rosenticka (NT, T), tretåig hackspett (NT, T, §4), ullticka (NT, T), vitgrynig nållav (NT), blodticka (S, T), spindelblomster (S, T, §8) och vedticka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Hökuggla (VU, §4)</w:t>
      </w:r>
      <w:r>
        <w:t xml:space="preserve"> är rödlistad som sårbar (VU), fridlyst enligt 4§ artskyddsförordningen och omfattas av bilaga 1 EU:s fågeldirektiv. Populationen är starkt vikande till följd av störda gnagarcykler och den har minskat med 45 (30–60) % under de senaste 15 åren. Hökugglan föredrar gles skogsmark i kanten av gnagarrika, öppna områden som myrar, hyggen, kraftledningsgator, brandfält och liknande. Den häckar främst i håligheter i grövre träd och på murkna högstubbar. De viktigaste faktorerna inför häckningen är tillgång till boplats och god tillgång till byten. Födan består i huvudsak av smådäggdjur, men om gnagartillgången är liten eller försämras under häckningen fångas även mindre fåglar. Hökugglan missgynnas när variationsrika skogar med rik förekomst av grov död ved omförs till täta produktionsskogar, inte minst på grund av minskad förekomst av lämpliga boplatser (SLU Artdatabanken, 2026).</w:t>
      </w:r>
    </w:p>
    <w:p>
      <w:r>
        <w:rPr>
          <w:b/>
        </w:rPr>
        <w:t>Vitskaftad svartspik (VU)</w:t>
      </w:r>
      <w:r>
        <w:t xml:space="preserve"> förekommer främst i naturskog på gamla senvuxna granar och signalerar alltid höga naturvärden. Alla skogliga åtgärder som kan påverka markvatten och luftfuktighet på i närheten av lokaler utgör ett hot. Avverkning av naturskogar utgör ett allvarligt hot och alla skogsskötselåtgärder på eller i närheten av växtplatserna bör undvikas. Lämpligt stora reservat av naturskogstyp bör bevaras. Vitskaftad svartspik är typisk art för </w:t>
      </w:r>
      <w:r>
        <w:rPr>
          <w:i/>
        </w:rPr>
        <w:t>9010 Taiga</w:t>
      </w:r>
      <w:r>
        <w:t xml:space="preserve"> (SLU Artdatabanken, 2026;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 xml:space="preserve">Blodticka </w:t>
      </w:r>
      <w:r>
        <w:t xml:space="preserve">är i norra Sverige främst knuten till grova granlågor i urskogsartad barrskog, men förekommer ibland även på klenare granar i anslutning till bäckar och sumpskogar. Den är en bra indikator på granskogar med höga naturvärden och oftast förekommer den tillsammans med ett stort antal ovanliga och rödlistade arter. I södra Sverige växer den framför allt på tall och har då ett lägre signalvärde. Blodticka är typisk art för </w:t>
      </w:r>
      <w:r>
        <w:rPr>
          <w:i/>
        </w:rPr>
        <w:t>9030 Landhöjningsskog</w:t>
      </w:r>
      <w:r>
        <w:t xml:space="preserve"> (SLU Artdatabanken, 2025; Nitare &amp; Skogsstyrelsen, 2019).</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16 naturvårdsarter varav 13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