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29392-2021 i Vilhelmina kommun</w:t>
      </w:r>
    </w:p>
    <w:p>
      <w:r>
        <w:t>Detta dokument behandlar höga naturvärden i avverkningsanmälan A 29392-2021 i Vilhelmina kommun. Denna avverkningsanmälan inkom 2021-06-14 00:00:00 och omfattar 275,0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11 naturvårdsarter hittats: brunpudrad nållav (NT), rödbrun blekspik (NT), skrovellav (NT), svartvit flugsnappare (NT, §4), vitgrynig nållav (NT), vitskaftad svartspik (NT), bårdlav (S), gulnål (S), gytterlav (S), källmossor (S) och mörk husmossa (S). Av dessa är 6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90449"/>
            <wp:docPr id="1" name="Picture 1"/>
            <wp:cNvGraphicFramePr>
              <a:graphicFrameLocks noChangeAspect="1"/>
            </wp:cNvGraphicFramePr>
            <a:graphic>
              <a:graphicData uri="http://schemas.openxmlformats.org/drawingml/2006/picture">
                <pic:pic>
                  <pic:nvPicPr>
                    <pic:cNvPr id="0" name="A 29392-2021 karta.png"/>
                    <pic:cNvPicPr/>
                  </pic:nvPicPr>
                  <pic:blipFill>
                    <a:blip r:embed="rId16"/>
                    <a:stretch>
                      <a:fillRect/>
                    </a:stretch>
                  </pic:blipFill>
                  <pic:spPr>
                    <a:xfrm>
                      <a:off x="0" y="0"/>
                      <a:ext cx="5486400" cy="399044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7239035, E 533248 i SWEREF 99 TM.</w:t>
      </w:r>
    </w:p>
    <w:p>
      <w:r>
        <w:rPr>
          <w:b/>
        </w:rPr>
        <w:t>Brunpudrad nållav (NT)</w:t>
      </w:r>
      <w:r>
        <w:t xml:space="preserve"> är beroende av hög, jämn luftfuktighet och kan påträffas i fuktiga skogar av naturskogskaraktär, ofta i sumpgranskog eller andra sumpskogar. Arten är placerad högst upp i Skogsstyrelsens värdepyramid för bedömning av skog med höga naturvärden och förekomster bör undantas från skogsbruksåtgärder (SLU Artdatabanken, 2024; Nitare &amp; Skogsstyrelsen, 2019).</w:t>
      </w:r>
    </w:p>
    <w:p>
      <w:r>
        <w:rPr>
          <w:b/>
        </w:rPr>
        <w:t xml:space="preserve">Mörk husmossa </w:t>
      </w:r>
      <w:r>
        <w:t>är en mycket bra signalart i södra och mellersta Sverige. Den är sannolikt svårspridd och växer huvudsakligen i skog med lång skoglig kontinuitet i områden med konstant hög luftfuktighet. Den är känslig för större avverkningar, men tål plockhuggning som lämnar ett tätare trädskikt och ett obrutet, fukthållande mosstäcke på marken. Ett par studier har klart visat att artens tillväxt försämras när skogen huggs ner intill växtplatsen, och att ett kalhygges påverkan på mörk husmossa avtar både med avståndet från kalhygget och ju fuktigare växtplatsen är (SLU Artdatabanken, 2024; Nitare &amp; Skogsstyrelsen, 2019).</w:t>
      </w:r>
    </w:p>
    <w:p>
      <w:r>
        <w:rPr>
          <w:b/>
        </w:rPr>
        <w:t>Rödbrun blekspik (NT)</w:t>
      </w:r>
      <w:r>
        <w:t xml:space="preserve"> växer i norra Sverige på bark och ved av björk och gran i skogar med hög och jämn luftfuktighet. I södra Sverige växer den främst på ek i öppna åldriga lövskogar. I norra delen av sitt utbredningsområde hotas arten av slutavverkningar av gamla granskogar. I den södra delen av landet hotas den genom de åldriga lövskogarnas tillbakagång och särskilt ekhagarnas igenväxning och genom plantering av sådan mark med barrskog. Rödbrun blekspik signalerar alltid höga naturvärden (SLU Artdatabanken, 2024;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r>
        <w:rPr>
          <w:b/>
        </w:rPr>
        <w:t>Vitskaftad svartspik (NT)</w:t>
      </w:r>
      <w:r>
        <w:t xml:space="preserve"> förekommer främst i naturskog på gamla senvuxna granar och signalerar alltid höga naturvärden. Alla skogliga åtgärder som kan påverka markvatten och luftfuktighet på i närheten av lokaler utgör ett hot. Avverkning av naturskogar utgör ett allvarligt hot och alla skogsskötselåtgärder på eller i närheten av växtplatserna bör undvikas. Lämpligt stora reservat av naturskogstyp bör bevaras (SLU Artdatabanken, 2024; Nitare &amp; Skogsstyrelsen, 2019).</w:t>
      </w:r>
    </w:p>
    <w:p>
      <w:pPr>
        <w:pStyle w:val="Heading1"/>
      </w:pPr>
      <w:r>
        <w:t>Fridlysta arter</w:t>
      </w:r>
    </w:p>
    <w:p>
      <w:r>
        <w:t>Följande fridlysta arter har sina livsmiljöer och växtplatser i den avverkningsanmälda skogen: svartvit flugsnappare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11 naturvårdsarter varav 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2026-01-16</w:t>
      <w:br/>
      <w:br/>
    </w:r>
    <w:r>
      <w:t>Till: Allmännings- och besparingsskogar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