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52678-2020 i Vilhelmina kommun</w:t>
      </w:r>
    </w:p>
    <w:p>
      <w:r>
        <w:t>Detta dokument behandlar höga naturvärden i avverkningsanmälan A 52678-2020 i Vilhelmina kommun. Denna avverkningsanmälan inkom 2020-10-14 00:00:00 och omfattar 200,0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36 naturvårdsarter hittats: grantickeporing (VU), gräddporing (VU), lappticka (VU), liten sotlav (VU), ostticka (VU), parasitporing (VU), rynkskinn (VU), tajgaskinn (VU), blanksvart spiklav (NT), doftskinn (NT), gammelgransskål (NT), garnlav (NT), granticka (NT), gränsticka (NT), harticka (NT), knottrig blåslav (NT), Leptoporus mollis (NT), rosenticka (NT), rödbrun blekspik (NT), skrovellav (NT), stjärntagging (NT), tretåig hackspett (NT, §4), ullticka (NT), vedflamlav (NT), vitgrynig nållav (NT), vitplätt (NT), blodticka (S), bårdlav (S), luddlav (S), mörk husmossa (S), plattlummer (S, §9), skinnlav (S), spindelblomster (S, §8), stuplav (S), trådticka (S) och vedticka (S). Av dessa är 26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61470"/>
            <wp:docPr id="1" name="Picture 1"/>
            <wp:cNvGraphicFramePr>
              <a:graphicFrameLocks noChangeAspect="1"/>
            </wp:cNvGraphicFramePr>
            <a:graphic>
              <a:graphicData uri="http://schemas.openxmlformats.org/drawingml/2006/picture">
                <pic:pic>
                  <pic:nvPicPr>
                    <pic:cNvPr id="0" name="A 52678-2020 karta.png"/>
                    <pic:cNvPicPr/>
                  </pic:nvPicPr>
                  <pic:blipFill>
                    <a:blip r:embed="rId16"/>
                    <a:stretch>
                      <a:fillRect/>
                    </a:stretch>
                  </pic:blipFill>
                  <pic:spPr>
                    <a:xfrm>
                      <a:off x="0" y="0"/>
                      <a:ext cx="5486400" cy="386147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7208705, E 530898 i SWEREF 99 TM.</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Doftskinn (NT)</w:t>
      </w:r>
      <w:r>
        <w:t>,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Grantickeporing (VU)</w:t>
      </w:r>
      <w:r>
        <w:t xml:space="preserve"> växer på murken ved och döda fruktkroppar av granticka (NT) och gränsticka (NT). Den förekommer i naturskogsliknade granskogar, gärna i fuktiga miljöer vid källbäckar och liknande. Avverkning av naturskogslika miljöer och av grova granar där grantickeporing förekommer är ett direkt hot mot artens fortlevnad. Gamla granskogar som hyser arten undantas helt från skogsbruk (SLU Artdatabanken, 2024).</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(SLU Artdatabanken, 2024; Nitare &amp; Skogsstyrelsen, 2019).</w:t>
      </w:r>
    </w:p>
    <w:p>
      <w:r>
        <w:rPr>
          <w:b/>
        </w:rPr>
        <w:t>Gränsticka (NT)</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Lokaler som hyser arten, speciellt i mellersta och södra Sverige, bör undantas från skogsbruk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(SLU Artdatabanken, 2024;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(SLU Artdatabanken, 2024; Nitare &amp; Skogsstyrelsen, 2019).</w:t>
      </w:r>
    </w:p>
    <w:p>
      <w:r>
        <w:rPr>
          <w:b/>
        </w:rPr>
        <w:t>Lappticka (VU)</w:t>
      </w:r>
      <w:r>
        <w:t>, rödlistad som sårbar, är knuten till gamla granskogar med riklig förekomst av död ved. Den klassas som en “urskogsindikator” och alla skogsskötselåtgärder på eller i omedelbar närhet av lokalerna utgör ett hot (Nitare &amp; Skogsstyrelsen, 2019; SLU Artdatabanken, 2024).</w:t>
      </w:r>
    </w:p>
    <w:p>
      <w:r>
        <w:rPr>
          <w:b/>
          <w:i/>
        </w:rPr>
        <w:t xml:space="preserve">Leptoporus mollis </w:t>
      </w:r>
      <w:r>
        <w:rPr>
          <w:b/>
        </w:rPr>
        <w:t>(NT)</w:t>
      </w:r>
      <w:r>
        <w:t xml:space="preserve"> är granens kötticka och har klassificerats som ”gammelskogsindikator”, då den förekommer med ett tydligt optimum i äldre barrskogar, främst fuktiga granskogar. Den har högst signalvärde söder om den naturliga norrlandsgränsen </w:t>
      </w:r>
      <w:r>
        <w:rPr>
          <w:i/>
        </w:rPr>
        <w:t>limes norrlandicus</w:t>
      </w:r>
      <w:r>
        <w:t>, men signalerar vanligtvis höga naturvärden även i Norrland. Arten är knuten till miljöer med konstant luftfuktighet och känslig för uttorkning som en avverkning kan medföra. Den totala populationen bedöms därför ha minskat under de senaste 30 åren och fortsätter att minska i takt med att grankontinuitetsskogar (skogar som inte kalavverkats) minskar i areal, samtidigt som att lämpliga miljöer inte återskapas i samma takt (SLU Artdatabanken, 2024; Nitare &amp; Skogsstyrelsen, 2019).</w:t>
      </w:r>
    </w:p>
    <w:p>
      <w:r>
        <w:rPr>
          <w:b/>
        </w:rPr>
        <w:t>Liten sotlav (VU)</w:t>
      </w:r>
      <w:r>
        <w:t xml:space="preserve"> förekommer i gamla brandrefugiala boreala granskogar där den oftast påträffas på grovbarkiga, senvuxna, mycket gamla granar. Arten är en av de mest krävande arterna i fuktig grannaturskog och är placerad högst upp i Skogsstyrelsens värdepyramid för bedömning av skog med höga naturvärden. Samtliga förekomster bör skyddas (SLU Artdatabanken, 2024; Nitare &amp; Skogsstyrelsen, 2019).</w:t>
      </w:r>
    </w:p>
    <w:p>
      <w:r>
        <w:rPr>
          <w:b/>
        </w:rPr>
        <w:t xml:space="preserve">Mörk husmossa </w:t>
      </w:r>
      <w:r>
        <w:t>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(SLU Artdatabanken, 2024; Nitare &amp; Skogsstyrelsen, 2019).</w:t>
      </w:r>
    </w:p>
    <w:p>
      <w:r>
        <w:rPr>
          <w:b/>
        </w:rPr>
        <w:t xml:space="preserve">Ostticka (VU) </w:t>
      </w:r>
      <w:r>
        <w:t>växer huvudsakligen på grova granlågor i urskogsartad barrskog. Växtplatserna ligger vanligtvis i brandrefugiala områden med relativt hög luftfuktighet där skogen under lång tid haft en intern beståndsdynamik med successivt avdöende träd. Alla skogsskötselåtgärder på eller i omedelbar närhet av lokalerna inverkar negativt på artens fortlevnad (SLU Artdatabanken, 2024; Nitare &amp; Skogsstyrelsen, 2019).</w:t>
      </w:r>
    </w:p>
    <w:p>
      <w:r>
        <w:rPr>
          <w:b/>
        </w:rPr>
        <w:t>Parasitporing (VU)</w:t>
      </w:r>
      <w:r>
        <w:t xml:space="preserve"> är en parasit på den vedlevande mycket vanliga violtickan (</w:t>
      </w:r>
      <w:r>
        <w:rPr>
          <w:i/>
        </w:rPr>
        <w:t xml:space="preserve">Trichaptum abietinum) </w:t>
      </w:r>
      <w:r>
        <w:t>på gran. Arten är uppenbarligen mycket sällsynt med speciella miljökrav och lokaler där arten finns bör skyddas från kalavverkning (SLU Artdatabanken, 2024).</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r>
        <w:rPr>
          <w:b/>
        </w:rPr>
        <w:t>Rödbrun blekspik (NT)</w:t>
      </w:r>
      <w:r>
        <w:t xml:space="preserve"> växer i norra Sverige på bark och ved av björk och gran i skogar med hög och jämn luftfuktighet. I södra Sverige växer den främst på ek i öppna åldriga lövskogar. I norra delen av sitt utbredningsområde hotas arten av slutavverkningar av gamla granskogar. I den södra delen av landet hotas den genom de åldriga lövskogarnas tillbakagång och särskilt ekhagarnas igenväxning och genom plantering av sådan mark med barrskog. Rödbrun blekspik signalerar alltid höga naturvärden (SLU Artdatabanken, 2024; Nitare &amp; Skogsstyrelsen, 2019).</w:t>
      </w:r>
    </w:p>
    <w:p>
      <w:r>
        <w:rPr>
          <w:b/>
        </w:rPr>
        <w:t xml:space="preserve">Skinnlav </w:t>
      </w:r>
      <w:r>
        <w:t>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r>
        <w:rPr>
          <w:b/>
        </w:rPr>
        <w:t>Tajgaskinn (VU)</w:t>
      </w:r>
      <w:r>
        <w:t xml:space="preserve"> är placerad högst upp i Skogsstyrelsens värdepyramid för bedömning av skog med höga naturvärden och har klassificerats som en ”urskogsindikator” som kräver närmast orörda skogsmiljöer med långvarig kontinuitet av grova granlågor i olika nedbrytningsstadier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Vitplätt (NT)</w:t>
      </w:r>
      <w:r>
        <w:t xml:space="preserve"> är en nedbrytare av död, hård och torr tallved och orsakar brunröta. Den förekommer mest i äldre, naturskogsliknande tallskog eller blandskog med äldre tall. Arten hotas av avverkning av gammal, senvuxen tall. I södra Sverige råder brist på lämpliga habitat och arten kan inte längre sprida sig utanför sina få kända växtplatser. Lokaler med gammal tall bör undantas från skogsbruk, i synnerhet i södra Sverige (SLU Artdatabanken, 2024).</w:t>
      </w:r>
    </w:p>
    <w:p>
      <w:pPr>
        <w:pStyle w:val="Heading1"/>
      </w:pPr>
      <w:r>
        <w:t>Fridlysta arter</w:t>
      </w:r>
    </w:p>
    <w:p>
      <w:r>
        <w:t>Följande fridlysta arter har sina livsmiljöer och växtplatser i den avverkningsanmälda skogen: tretåig hackspett (NT, §4), plattlummer (S, §9) och spindelblomster (S, §8).</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36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36 naturvårdsarter varav 26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2025-08-19</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