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47248-2024 i Vilhelmina kommun</w:t>
      </w:r>
    </w:p>
    <w:p>
      <w:r>
        <w:t>Detta dokument behandlar höga naturvärden i avverkningsanmälan A 47248-2024 i Vilhelmina kommun. Denna avverkningsanmälan inkom 2024-10-21 00:00:00 och omfattar 4,0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granticka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395987"/>
            <wp:docPr id="1" name="Picture 1"/>
            <wp:cNvGraphicFramePr>
              <a:graphicFrameLocks noChangeAspect="1"/>
            </wp:cNvGraphicFramePr>
            <a:graphic>
              <a:graphicData uri="http://schemas.openxmlformats.org/drawingml/2006/picture">
                <pic:pic>
                  <pic:nvPicPr>
                    <pic:cNvPr id="0" name="A 47248-2024 karta.png"/>
                    <pic:cNvPicPr/>
                  </pic:nvPicPr>
                  <pic:blipFill>
                    <a:blip r:embed="rId16"/>
                    <a:stretch>
                      <a:fillRect/>
                    </a:stretch>
                  </pic:blipFill>
                  <pic:spPr>
                    <a:xfrm>
                      <a:off x="0" y="0"/>
                      <a:ext cx="5486400" cy="439598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7211341, E 571233 i SWEREF 99 TM.</w:t>
      </w:r>
    </w:p>
    <w:p>
      <w:r>
        <w:rPr>
          <w:b/>
        </w:rPr>
        <w:t>Granticka</w:t>
      </w:r>
      <w:r>
        <w:t xml:space="preserve"> förekommer främst i äldre skogar med naturskogskaraktär, liksom i dimensionsavverkade och plockhuggna skogar. I äldre grannaturskog i norra Sverige är den alltjämt en förhållandevis vanlig karaktärsart, medan den längre söderut blir allt mer sällsynt. I Götaland och delar av Svealand är den en god signalart för skyddsvärda granskogsmiljöer. Arten bedöms ha minskat starkt under senare år på grund av skogsavverkningar, då den framför allt växer i äldre granskog med långvarig grankontinuitet. I urskogsliknande bestånd i norra Sverige kan ibland påträffas den mycket sällsynta tickan grantickeporing (VU), som lever på döda grantickor. Det som tidigare inbegripit grantickan har visat sig röra sig om två arter; tajgagranticka </w:t>
      </w:r>
      <w:r>
        <w:rPr>
          <w:i/>
        </w:rPr>
        <w:t>Porodaedalea abietis</w:t>
      </w:r>
      <w:r>
        <w:t xml:space="preserve"> (LC) och </w:t>
      </w:r>
      <w:r>
        <w:rPr>
          <w:i/>
        </w:rPr>
        <w:t>Porodaedalea chrysoloma</w:t>
      </w:r>
      <w:r>
        <w:t xml:space="preserve"> (DD). Den nordligare arten, tajgagranticka, bildar större fruktkroppar och har sin främsta förekomst i norra Sverige, medan den mer tunnköttiga arten, </w:t>
      </w:r>
      <w:r>
        <w:rPr>
          <w:i/>
        </w:rPr>
        <w:t>P. chrysoloma</w:t>
      </w:r>
      <w:r>
        <w:t>, förekommer i sydöstra Sverige och på Gotland (SLU Artdatabanken, 2026;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2026-06-17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