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38534-2024 i Vilhelmina kommun</w:t>
      </w:r>
    </w:p>
    <w:p>
      <w:r>
        <w:t>Denna tillsynsbegäran behandlar höga naturvärden i avverkningsanmälan A 38534-2024 i Vilhelmina kommun som inkom 2024-09-11 och omfattar 10,5 ha.</w:t>
      </w:r>
    </w:p>
    <w:p>
      <w:pPr>
        <w:pStyle w:val="Caption"/>
      </w:pPr>
      <w:r>
        <w:drawing>
          <wp:inline xmlns:a="http://schemas.openxmlformats.org/drawingml/2006/main" xmlns:pic="http://schemas.openxmlformats.org/drawingml/2006/picture">
            <wp:extent cx="5486400" cy="5590134"/>
            <wp:docPr id="1" name="Picture 1"/>
            <wp:cNvGraphicFramePr>
              <a:graphicFrameLocks noChangeAspect="1"/>
            </wp:cNvGraphicFramePr>
            <a:graphic>
              <a:graphicData uri="http://schemas.openxmlformats.org/drawingml/2006/picture">
                <pic:pic>
                  <pic:nvPicPr>
                    <pic:cNvPr id="0" name="A 38534-2024 karta.png"/>
                    <pic:cNvPicPr/>
                  </pic:nvPicPr>
                  <pic:blipFill>
                    <a:blip r:embed="rId16"/>
                    <a:stretch>
                      <a:fillRect/>
                    </a:stretch>
                  </pic:blipFill>
                  <pic:spPr>
                    <a:xfrm>
                      <a:off x="0" y="0"/>
                      <a:ext cx="5486400" cy="559013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7188226, E 577117 i SWEREF 99 TM.</w:t>
      </w:r>
    </w:p>
    <w:p>
      <w:r>
        <w:t>I och inom 20 meter från avverkningsanmälan finns fynd av 4 naturvårdsarter, varav 2 är rödlistade, 1 är fridlyst, 4 är typiska (T) och 2 är signalarter (S): tretåig hackspett (NT, T, §4), ullticka (NT, T), skogshakmossa (S, T) och trådticka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