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34089-2023 i Vilhelmina kommun</w:t>
      </w:r>
    </w:p>
    <w:p>
      <w:r>
        <w:t>Detta dokument behandlar höga naturvärden i avverkningsanmälan A 34089-2023 i Vilhelmina kommun. Denna avverkningsanmälan inkom 2023-07-18 och omfattar 24,1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 I BILAGA 1 finns artfakta om fridlysta arter.</w:t>
      </w:r>
    </w:p>
    <w:p>
      <w:pPr>
        <w:pStyle w:val="Heading1"/>
      </w:pPr>
      <w:r>
        <w:t>Naturvårdsarter</w:t>
      </w:r>
    </w:p>
    <w:p>
      <w:r>
        <w:t>I avverkningsanmälan har följande 2 naturvårdsarter hittats: garnlav (NT) och tretåig hackspett (NT, §4). Av dessa är 2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723911"/>
            <wp:docPr id="1" name="Picture 1"/>
            <wp:cNvGraphicFramePr>
              <a:graphicFrameLocks noChangeAspect="1"/>
            </wp:cNvGraphicFramePr>
            <a:graphic>
              <a:graphicData uri="http://schemas.openxmlformats.org/drawingml/2006/picture">
                <pic:pic>
                  <pic:nvPicPr>
                    <pic:cNvPr id="0" name="A 34089-2023 karta.png"/>
                    <pic:cNvPicPr/>
                  </pic:nvPicPr>
                  <pic:blipFill>
                    <a:blip r:embed="rId16"/>
                    <a:stretch>
                      <a:fillRect/>
                    </a:stretch>
                  </pic:blipFill>
                  <pic:spPr>
                    <a:xfrm>
                      <a:off x="0" y="0"/>
                      <a:ext cx="5486400" cy="3723911"/>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7180315, E 610163 i SWEREF 99 TM.</w:t>
      </w:r>
    </w:p>
    <w:p>
      <w:pPr>
        <w:pStyle w:val="Heading1"/>
      </w:pPr>
      <w:r>
        <w:t>Fridlysta arter</w:t>
      </w:r>
    </w:p>
    <w:p>
      <w:r>
        <w:t>Följande fridlysta arter har sina livsmiljöer och växtplatser i den avverkningsanmälda skogen: tretåig hackspett (NT,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Tretåig hackspett (NT, §4)</w:t>
      </w:r>
      <w:r>
        <w:t xml:space="preserve"> är rödlistad som nära hotad och ingår i bilaga 1 i EU:s fågeldirektiv. Tretåig hackspett är för sin överlevnad beroende av kontinuerlig tillförsel av äldre döende och död ved, som sker genom naturliga självgallringsprocesser i äldre grannaturskogar och barrblandade naturskogar. Om en skog genom skogsbruk gallras eller glesas ur så upphör och uteblir i stort sett den naturliga självgallringsprocessen för mycket lång tid framöver vilket omöjliggör upprätthållandet av den kontinuerliga ekologiska funktionen i ett område. Det finns studier som visar att naturskogens självgallringsprocess som den tretåiga hackspetten är beroende av, inte kan ersättas med efterlämnad hänsyn i skogsbruket (Imbeau &amp; Desrochers, 2002). Storleken på häckningsreviret varierar med skogstypen, förekomsten av död ved och graden av fragmentering, men är i allmänhet i storleksordningen 25–100 hektar. Vintertid krävs ofta betydligt större områden och det finns studier som antyder att arten behöver minst 100 hektar äldre skog. I områden med låg bonitet kan det behövas över 200 hektar lämpligt habitat för att ett par ska kunna reproducera sig (Skogsstyrelsen, 2016).</w:t>
      </w:r>
    </w:p>
    <w:p>
      <w:r>
        <w:t>I BILAGA 1 finns mer detaljerad information om ekologi samt krav på livsmiljö hos fridlysta arter.</w:t>
      </w:r>
    </w:p>
    <w:p>
      <w:r>
        <w:br w:type="page"/>
      </w:r>
    </w:p>
    <w:p>
      <w:pPr>
        <w:pStyle w:val="Title"/>
      </w:pPr>
      <w:r>
        <w:t>BILAGA 1 – Fridlysta arter</w:t>
      </w:r>
    </w:p>
    <w:p>
      <w:pPr>
        <w:pStyle w:val="Heading1"/>
      </w:pPr>
      <w:r>
        <w:t>Tretåig hackspett – ekologi samt krav på livsmiljön</w:t>
      </w:r>
    </w:p>
    <w:p>
      <w:r>
        <w:t xml:space="preserve">Tretåig hackspett (NT) är fridlyst enligt §4 Artskyddsförordningen och finns med som prioriterad art i Skogsstyrelsen vägledning för skogsbruket (bilaga 4 till SVL). I vägledningen står bland annat att: </w:t>
      </w:r>
      <w:r>
        <w:rPr>
          <w:i/>
        </w:rPr>
        <w:t xml:space="preserve">“Tretåig hackspett har stora arealkrav och höga krav på sin livsmiljö. Omdaningen av naturskogar till kulturskogar medför en förlust av viktiga miljöer, något som förstärks av ökad fragmentering till följd av avverkningar.” </w:t>
      </w:r>
      <w:r>
        <w:t xml:space="preserve">Vidare att: </w:t>
      </w:r>
      <w:r>
        <w:rPr>
          <w:i/>
        </w:rPr>
        <w:t>“Områden med dokumenterad permanent förekomst i naturskogsmiljöer har vanligen så stora naturvärden att skogsbruk är olämpligt”.</w:t>
      </w:r>
    </w:p>
    <w:p>
      <w:r>
        <w:t>Tretåig hackspett är beroende av större sammanhängande naturskogar med kontinuerlig tillgång och nybildning av död ved och fragmentering av livsmiljöerna utgör ett stort hot mot arten (se exempelvis Stachura-Skierczynska et al., 2009; Wesolowski et al., 2005; Butler et al., 2004; Pakkala et al., 2002; Amcoff et al., 1996; Virkkala, 1991). Det finns studier som visar att naturskogens självgallringsprocess som den tretåiga hackspetten är beroende av, inte kan ersättas med efterlämnad hänsyn i skogsbruket (Imbeau &amp; Desrochers, 2002).</w:t>
      </w:r>
    </w:p>
    <w:p>
      <w:r>
        <w:t xml:space="preserve">Permanenta revir av tretåig hackspett karaktäriseras ofta av artens typiska ringformigt ordnade hackmärken på framför allt gamla granar. För att säkerställa att inte revir av tretåig hackspett drabbas av avverkningsplanerna bör en inventering göras i området både under häckningstid och under vintern, då arten utnyttjar betydligt större områden än under sommarens häckningsrevir. Storleken på häckningsreviret varierar med skogstypen, förekomsten av död ved och graden av fragmentering, men är i allmänhet i storleksordningen 25–100 hektar. </w:t>
      </w:r>
    </w:p>
    <w:p>
      <w:r>
        <w:t>Förutom fridlysning enligt §4 Artskyddsförordningen är tretåig hackspett även förtecknad i EU:s fågeldirektiv bilaga 1. Den ingår också i Natura 2000 och är förtecknad i Bernkonventionen bilaga II (strikt skyddade djurarter).</w:t>
      </w:r>
    </w:p>
    <w:p>
      <w:pPr>
        <w:pStyle w:val="Heading2"/>
      </w:pPr>
      <w:r>
        <w:t>Referenser – tretåig hackspett</w:t>
      </w:r>
    </w:p>
    <w:p>
      <w:r>
        <w:t xml:space="preserve">Amcoff, M. &amp; Eriksson, P. 1996. </w:t>
      </w:r>
      <w:r>
        <w:rPr>
          <w:i/>
        </w:rPr>
        <w:t xml:space="preserve">Förekomst av tretåig hackspett Picoides tridactylus på bestånds- och landskapsnivå. </w:t>
      </w:r>
      <w:r>
        <w:t>Ornis Svecica 6: 107–119</w:t>
      </w:r>
    </w:p>
    <w:p>
      <w:r>
        <w:t xml:space="preserve">Butler, R., Angelstam, P., Ekelund, P. &amp; Schlaeffer, R. 2004. </w:t>
      </w:r>
      <w:r>
        <w:rPr>
          <w:i/>
        </w:rPr>
        <w:t xml:space="preserve">Dead wood threshold values for the three-toed woodpecker presence in boreal and sub-Alpine forest. </w:t>
      </w:r>
      <w:r>
        <w:t>Biological conservation 119(3): 305–318</w:t>
      </w:r>
    </w:p>
    <w:p>
      <w:r>
        <w:t xml:space="preserve">Imbeau, L. &amp; Desrochers, A. 2002. </w:t>
      </w:r>
      <w:r>
        <w:rPr>
          <w:i/>
        </w:rPr>
        <w:t xml:space="preserve">Foraging Ecology and Use of Drumming Trees by Three-Toed Woodpeckers. </w:t>
      </w:r>
      <w:r>
        <w:t>The Journal of Wildlife Management. Vol. 66, No. 1 (Jan., 2002), pp. 222–231.</w:t>
      </w:r>
    </w:p>
    <w:p>
      <w:r>
        <w:t xml:space="preserve">Pakkala, T., Hanski, I. &amp; Tomppo, E. 2002. </w:t>
      </w:r>
      <w:r>
        <w:rPr>
          <w:i/>
        </w:rPr>
        <w:t xml:space="preserve">Spatial ecology of the three-toed woodpecker in managed forest landscapes. </w:t>
      </w:r>
      <w:r>
        <w:t>Silva Fennica 36(1): 279–288.</w:t>
      </w:r>
    </w:p>
    <w:p>
      <w:r>
        <w:t xml:space="preserve">Skogsstyrelsen, 2016. </w:t>
      </w:r>
      <w:r>
        <w:rPr>
          <w:i/>
        </w:rPr>
        <w:t xml:space="preserve">Vägledning för hänsyn till fåglar – Tretåig hackspett. </w:t>
      </w:r>
      <w:r>
        <w:t>www.skogsstyrelsen.se</w:t>
      </w:r>
    </w:p>
    <w:p>
      <w:r>
        <w:t xml:space="preserve">Stachura-Skierczynska, K., Tumiel, T. &amp; Skierczynski, M. 2009. </w:t>
      </w:r>
      <w:r>
        <w:rPr>
          <w:i/>
        </w:rPr>
        <w:t xml:space="preserve">Habitat prediction model for three-toed woodpecker and its implications for the conservation of biologically valuable forests. </w:t>
      </w:r>
      <w:r>
        <w:t>Forest Ecology and Management 258(5): 697–703.</w:t>
      </w:r>
    </w:p>
    <w:p>
      <w:r>
        <w:t xml:space="preserve">Virkkala, R. 1991. </w:t>
      </w:r>
      <w:r>
        <w:rPr>
          <w:i/>
        </w:rPr>
        <w:t xml:space="preserve">Population trends of forest birds in a Finnish Lapland landscape of large habitat blocks – Consequences of stochastic environmental variation or regional habitat alteration. </w:t>
      </w:r>
      <w:r>
        <w:t>Biological conservation 56(2): 223–240</w:t>
      </w:r>
    </w:p>
    <w:p>
      <w:r>
        <w:t xml:space="preserve">Wesolowski, T., Czeszczewik, D. &amp; Rowinski, P. 2005. </w:t>
      </w:r>
      <w:r>
        <w:rPr>
          <w:i/>
        </w:rPr>
        <w:t xml:space="preserve">Effects of forest management on Three-toed Woodpecker Picoides tridactylus distribution in the Bialowieza Forest (NE Poland): conservation implications. </w:t>
      </w:r>
      <w:r>
        <w:t>Acta Ornithologica 40(1): 53–60.</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2025-03-22</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