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29408-2022 i Vilhelmina kommun</w:t>
      </w:r>
    </w:p>
    <w:p>
      <w:r>
        <w:t>Detta klagomål behandlar höga naturvärden i avverkningsanmälan A 29408-2022 i Vilhelmina kommun som inkom 2022-07-11 och omfattar 17,1 ha.</w:t>
      </w:r>
    </w:p>
    <w:p>
      <w:pPr>
        <w:pStyle w:val="Caption"/>
      </w:pPr>
      <w:r>
        <w:drawing>
          <wp:inline xmlns:a="http://schemas.openxmlformats.org/drawingml/2006/main" xmlns:pic="http://schemas.openxmlformats.org/drawingml/2006/picture">
            <wp:extent cx="5486400" cy="3457600"/>
            <wp:docPr id="1" name="Picture 1"/>
            <wp:cNvGraphicFramePr>
              <a:graphicFrameLocks noChangeAspect="1"/>
            </wp:cNvGraphicFramePr>
            <a:graphic>
              <a:graphicData uri="http://schemas.openxmlformats.org/drawingml/2006/picture">
                <pic:pic>
                  <pic:nvPicPr>
                    <pic:cNvPr id="0" name="A 29408-2022 karta.png"/>
                    <pic:cNvPicPr/>
                  </pic:nvPicPr>
                  <pic:blipFill>
                    <a:blip r:embed="rId16"/>
                    <a:stretch>
                      <a:fillRect/>
                    </a:stretch>
                  </pic:blipFill>
                  <pic:spPr>
                    <a:xfrm>
                      <a:off x="0" y="0"/>
                      <a:ext cx="5486400" cy="34576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7202657, E 538307 i SWEREF 99 TM.</w:t>
      </w:r>
    </w:p>
    <w:p>
      <w:r>
        <w:t>I och inom 25 meter från avverkningsanmälan finns fynd av 59 naturvårdsarter, varav 36 är rödlistade, 11 är fridlysta, 38 är typiska (T) och 19 är signalarter (S): njurlavsknapp (EN), aspfjädermossa (VU, T), blackticka (VU), borsttagging (VU), Calycina lobariae (VU), doftticka (VU, T, §8), garnlav (VU, T), gränsticka (VU, T), knärot (VU, T, §8), lappticka (VU, T), mörk kådsvartspik (VU), ostticka (VU, T), ulltickeporing (VU), vitskaftad svartspik (VU, T), barrfagerspindling (NT), barrviolspindling (NT), brunpudrad nållav (NT, T), gammelgransskål (NT, T), grynig filtlav (NT, T), harticka (NT, T), knottrig blåslav (NT, T), lavskrika (NT, T, §4), liten svartspik (NT), lunglav (NT, T), nordlig nållav (NT), olivbrun gytterlav (NT, T), rosenticka (NT, T), rynkskinn (NT, T), röd trolldruva (NT, T), skrovellav (NT, T), talltita (NT, §4), tretåig hackspett (NT, T, §4), ullticka (NT, T), vedtrappmossa (NT, T), vitgrynig nållav (NT), äggvaxskivling (NT), barkkornlav (S, T), bårdlav (S, T), diskvaxskivling (S), dvärgtufs (S), gytterlav (S, T), kamjordstjärna (S), korallblylav (S, T), källmossor (S), luddlav (S, T), mörk husmossa (S, T), plattlummer (S, T, §9), skinnlav (S, T), spindelblomster (S, T, §8), stuplav (S, T), svart trolldruva (S, T), svavelriska (S), tibast (S, T), trådticka (S, T), ögonpyrola (S, T), spillkråka (T, §4), kungsfågel (§4), skogsrör (§7)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Njurlavsknapp (EN) </w:t>
      </w:r>
      <w:r>
        <w:t xml:space="preserve">är en mycket sällsynt parasitisk svamp som växer på stuplav. Njurlavsknappen ställer höga krav på sin livsmiljö och är beroende av hög och jämn luftfuktighet, sannolikt krävs det ett suboceaniskt lokalklimat för att den ska trivas på sina lokaler. Arten hotas av avverkning av äldre granskog, kontinuitetsskog, med högt inslag av sälg och rönn i suboceaniska klimatlägen. Utöver njurlavsknapp finns det tre andra lavparasiter; </w:t>
      </w:r>
      <w:r>
        <w:rPr>
          <w:i/>
        </w:rPr>
        <w:t>Protounguicularia nephromatis</w:t>
      </w:r>
      <w:r>
        <w:t xml:space="preserve"> (VU), </w:t>
      </w:r>
      <w:r>
        <w:rPr>
          <w:i/>
        </w:rPr>
        <w:t>Refractohilum galligenum</w:t>
      </w:r>
      <w:r>
        <w:t xml:space="preserve"> (NT) och </w:t>
      </w:r>
      <w:r>
        <w:rPr>
          <w:i/>
        </w:rPr>
        <w:t>Roselliniella nephromatis</w:t>
      </w:r>
      <w:r>
        <w:t xml:space="preserve"> (DD), vilka också växer på stuplav (SLU Artdatabanken, 2026).</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i/>
        </w:rPr>
        <w:t>Calycina lobariae</w:t>
      </w:r>
      <w:r>
        <w:rPr>
          <w:b/>
        </w:rPr>
        <w:t xml:space="preserve"> (VU)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2283172"/>
            <wp:docPr id="2" name="Picture 2"/>
            <wp:cNvGraphicFramePr>
              <a:graphicFrameLocks noChangeAspect="1"/>
            </wp:cNvGraphicFramePr>
            <a:graphic>
              <a:graphicData uri="http://schemas.openxmlformats.org/drawingml/2006/picture">
                <pic:pic>
                  <pic:nvPicPr>
                    <pic:cNvPr id="0" name="A 29408-2022 karta knärot.png"/>
                    <pic:cNvPicPr/>
                  </pic:nvPicPr>
                  <pic:blipFill>
                    <a:blip r:embed="rId17"/>
                    <a:stretch>
                      <a:fillRect/>
                    </a:stretch>
                  </pic:blipFill>
                  <pic:spPr>
                    <a:xfrm>
                      <a:off x="0" y="0"/>
                      <a:ext cx="5486400" cy="2283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7202657, E 538307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Olivbrun gytterlav (NT)</w:t>
      </w:r>
      <w:r>
        <w:t xml:space="preserve"> växer på barken av flera olika mossbelupna lövträd, främst asp, ask och lönn. Den är beroende av hög och jämn luftfuktighet och är placerad högst upp i Skogsstyrelsens värdepyramid för bedömning av skog med höga naturvärden. Laven hotas av avverkning av asp i blandskogsbestånd och av att gamla vårdträd, alléträd m.m. avverkas. Olivbrun gytterlav är typisk art för </w:t>
      </w:r>
      <w:r>
        <w:rPr>
          <w:i/>
        </w:rPr>
        <w:t xml:space="preserve">9020 Nordlig ädellövskog, 9070 Trädklädd betesmark </w:t>
      </w:r>
      <w:r>
        <w:t xml:space="preserve">och </w:t>
      </w:r>
      <w:r>
        <w:rPr>
          <w:i/>
        </w:rPr>
        <w:t xml:space="preserve">9180 Ädellövskog i branter </w:t>
      </w:r>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55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59 naturvårdsarter varav 36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