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klagomål behandlar höga naturvärden i avverkningsanmälan A 56621-2024 i Vilhelmina kommun som inkom 2024-11-29 och omfattar 39,2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7238303, E 532380 i SWEREF 99 TM.</w:t>
      </w:r>
    </w:p>
    <w:p>
      <w:r>
        <w:t>I och inom 24 meter från avverkningsanmälan finns fynd av 25 naturvårdsarter, varav 13 är rödlistade, 6 är fridlysta, 18 är typiska (T) och 10 är signalarter (S): garnlav (VU, T), smalskaftslav (VU), vitskaftad svartspik (VU, T), brunpudrad nållav (NT, T), gammelgransskål (NT, T), knottrig blåslav (NT, T), lavskrika (NT, T, §4), rosenticka (NT, T), rödbrun blekspik (NT, T), skrovellav (NT, T), talltita (NT, §4), tretåig hackspett (NT, T, §4), vitgrynig nållav (NT), bårdlav (S, T), gräsull (S), gulnål (S, T), gytterlav (S, T), källmossor (S), luddlav (S, T), mörk husmossa (S, T), skinnlav (S, T), spindelblomster (S, T, §8), stuplav (S, T),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