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9904-2026 i Vilhelmina kommun</w:t>
      </w:r>
    </w:p>
    <w:p>
      <w:r>
        <w:t>Denna tillsynsbegäran behandlar höga naturvärden i avverkningsanmälan A 9904-2026 i Vilhelmina kommun som inkom 2026-02-20 och omfattar 2,6 ha.</w:t>
      </w:r>
    </w:p>
    <w:p>
      <w:pPr>
        <w:pStyle w:val="Caption"/>
      </w:pPr>
      <w:r>
        <w:drawing>
          <wp:inline xmlns:a="http://schemas.openxmlformats.org/drawingml/2006/main" xmlns:pic="http://schemas.openxmlformats.org/drawingml/2006/picture">
            <wp:extent cx="5281422" cy="5724000"/>
            <wp:docPr id="1" name="Picture 1"/>
            <wp:cNvGraphicFramePr>
              <a:graphicFrameLocks noChangeAspect="1"/>
            </wp:cNvGraphicFramePr>
            <a:graphic>
              <a:graphicData uri="http://schemas.openxmlformats.org/drawingml/2006/picture">
                <pic:pic>
                  <pic:nvPicPr>
                    <pic:cNvPr id="0" name="A 9904-2026 karta.png"/>
                    <pic:cNvPicPr/>
                  </pic:nvPicPr>
                  <pic:blipFill>
                    <a:blip r:embed="rId16"/>
                    <a:stretch>
                      <a:fillRect/>
                    </a:stretch>
                  </pic:blipFill>
                  <pic:spPr>
                    <a:xfrm>
                      <a:off x="0" y="0"/>
                      <a:ext cx="52814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7205099, E 572217 i SWEREF 99 TM.</w:t>
      </w:r>
    </w:p>
    <w:p>
      <w:r>
        <w:t>I avverkningsanmälan finns fynd av 11 naturvårdsarter, varav 7 är rödlistade, 4 är fridlysta, 7 är typiska (T) och 1 är signalart (S): garnlav (VU, T), liten sotlav (VU, T), vitskaftad svartspik (VU, T), gammelgransskål (NT, T), liten svartspik (NT), tretåig hackspett (NT, T, §4), vitgrynig nållav (NT), kornig nållav (S, T),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liten sotlav (VU, T), vitskaftad svartspik (VU, T), gammelgransskål (NT, T), tretåig hackspett (NT, T, §4), kornig nållav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