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49977-2023 i Vilhelmina kommun</w:t>
      </w:r>
    </w:p>
    <w:p>
      <w:r>
        <w:t>Detta klagomål behandlar höga naturvärden i avverkningsanmälan A 49977-2023 i Vilhelmina kommun som inkom 2023-10-09 och omfattar 8,1 ha.</w:t>
      </w:r>
    </w:p>
    <w:p>
      <w:pPr>
        <w:pStyle w:val="Caption"/>
      </w:pPr>
      <w:r>
        <w:drawing>
          <wp:inline xmlns:a="http://schemas.openxmlformats.org/drawingml/2006/main" xmlns:pic="http://schemas.openxmlformats.org/drawingml/2006/picture">
            <wp:extent cx="5486400" cy="3486032"/>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34860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7201942, E 540048 i SWEREF 99 TM.</w:t>
      </w:r>
    </w:p>
    <w:p>
      <w:r>
        <w:t>I och inom 24 meter från avverkningsanmälan finns fynd av 10 naturvårdsarter, varav 5 är rödlistade, 3 är fridlysta, 7 är typiska (T) och 3 är signalarter (S): fjällig taggsvamp s.str. (NT), kötticka (NT), skrovellav (NT, T), tretåig hackspett (NT, T, §4), vitgrynig nållav (NT), bårdlav (S, T), skogshakmossa (S, T), stuplav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