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39272-2021 i Vilhelmina kommun</w:t>
      </w:r>
    </w:p>
    <w:p>
      <w:r>
        <w:t>Denna tillsynsbegäran behandlar höga naturvärden i avverkningsanmälan A 39272-2021 i Vilhelmina kommun som inkom 2021-08-04 och omfattar 38,0 ha.</w:t>
      </w:r>
    </w:p>
    <w:p>
      <w:pPr>
        <w:pStyle w:val="Caption"/>
      </w:pPr>
      <w:r>
        <w:drawing>
          <wp:inline xmlns:a="http://schemas.openxmlformats.org/drawingml/2006/main" xmlns:pic="http://schemas.openxmlformats.org/drawingml/2006/picture">
            <wp:extent cx="5156916" cy="5724000"/>
            <wp:docPr id="1" name="Picture 1"/>
            <wp:cNvGraphicFramePr>
              <a:graphicFrameLocks noChangeAspect="1"/>
            </wp:cNvGraphicFramePr>
            <a:graphic>
              <a:graphicData uri="http://schemas.openxmlformats.org/drawingml/2006/picture">
                <pic:pic>
                  <pic:nvPicPr>
                    <pic:cNvPr id="0" name="A 39272-2021 karta.png"/>
                    <pic:cNvPicPr/>
                  </pic:nvPicPr>
                  <pic:blipFill>
                    <a:blip r:embed="rId16"/>
                    <a:stretch>
                      <a:fillRect/>
                    </a:stretch>
                  </pic:blipFill>
                  <pic:spPr>
                    <a:xfrm>
                      <a:off x="0" y="0"/>
                      <a:ext cx="5156916"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7166028, E 559315 i SWEREF 99 TM.</w:t>
      </w:r>
    </w:p>
    <w:p>
      <w:r>
        <w:t>I och inom 24 meter från avverkningsanmälan finns fynd av 33 naturvårdsarter, varav 20 är rödlistade, 8 är fridlysta, 23 är typiska (T) och 8 är signalarter (S): citronporing (VU), garnlav (VU, T), grantickeporing (VU), gränsticka (VU, T), skuggnål (VU), vitskaftad svartspik (VU, T), brunpudrad nållav (NT, T), doftskinn (NT, T), gammelgransskål (NT, T), harticka (NT, T), kötticka (NT), lavskrika (NT, T, §4), rosenticka (NT, T), rynkskinn (NT, T), rödbrun blekspik (NT, T), stjärntagging (NT, T), talltita (NT, §4), tretåig hackspett (NT, T, §4), ullticka (NT, T), vitgrynig nållav (NT), blodticka (S, T), bårdlav (S, T), gulnål (S, T), luddlav (S, T), mörk husmossa (S, T), stuplav (S, T), trådticka (S, T), vågbandad barkbock (S), järpe (T, §4), spillkråka (T, §4), kungsfågel (§4), orre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Citronporing (VU)</w:t>
      </w:r>
      <w:r>
        <w:t xml:space="preserve"> växer på granlågor i naturskogsartade granskogar. Den påträffas ofta på eller nära fruktkroppar av klibbticka. Citronporing är globalt rödlistad som starkt hotad (EN) vilket innebär att Sverige har ett internationellt ansvar för arten. Alla skogsskötselåtgärder på eller i direkt anslutning till växtplatserna utgör ett hot och områden som hyser arten måste undantas helt från skogsbruk. Lokaler där citronporing påträffas bör ges ett juridiskt skydd (SLU Artdatabanken, 2026; IUCN,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vitskaftad svartspik (VU, T), brunpudrad nållav (NT, T), doftskinn (NT, T), gammelgransskål (NT, T), harticka (NT, T), lavskrika (NT, T, §4), rosenticka (NT, T), rynkskinn (NT, T), rödbrun blekspik (NT, T), stjärntagging (NT, T), tretåig hackspett (NT, T, §4), ullticka (NT, T), blodticka (S, T), bårdlav (S, T), gulnål (S, T), luddlav (S, T), mörk husmossa (S, T), stuplav (S, T), trådticka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