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6963-2023 i Vilhelmina kommun</w:t>
      </w:r>
    </w:p>
    <w:p>
      <w:r>
        <w:t>Detta klagomål behandlar höga naturvärden i avverkningsanmälan A 6963-2023 i Vilhelmina kommun som inkom 2023-02-07 och omfattar 8,0 ha.</w:t>
      </w:r>
    </w:p>
    <w:p>
      <w:pPr>
        <w:pStyle w:val="Caption"/>
      </w:pPr>
      <w:r>
        <w:drawing>
          <wp:inline xmlns:a="http://schemas.openxmlformats.org/drawingml/2006/main" xmlns:pic="http://schemas.openxmlformats.org/drawingml/2006/picture">
            <wp:extent cx="5486400" cy="4525347"/>
            <wp:docPr id="1" name="Picture 1"/>
            <wp:cNvGraphicFramePr>
              <a:graphicFrameLocks noChangeAspect="1"/>
            </wp:cNvGraphicFramePr>
            <a:graphic>
              <a:graphicData uri="http://schemas.openxmlformats.org/drawingml/2006/picture">
                <pic:pic>
                  <pic:nvPicPr>
                    <pic:cNvPr id="0" name="A 6963-2023 karta.png"/>
                    <pic:cNvPicPr/>
                  </pic:nvPicPr>
                  <pic:blipFill>
                    <a:blip r:embed="rId16"/>
                    <a:stretch>
                      <a:fillRect/>
                    </a:stretch>
                  </pic:blipFill>
                  <pic:spPr>
                    <a:xfrm>
                      <a:off x="0" y="0"/>
                      <a:ext cx="5486400" cy="452534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7237399, E 530464 i SWEREF 99 TM.</w:t>
      </w:r>
    </w:p>
    <w:p>
      <w:r>
        <w:t>I och inom 1 meter från avverkningsanmälan finns fynd av 9 naturvårdsarter, varav 7 är rödlistade, 2 är fridlysta, 8 är typiska (T) och 2 är signalarter (S): garnlav (VU, T), vitskaftad svartspik (VU, T), gammelgransskål (NT, T), knottrig blåslav (NT, T), skrovellav (NT, T), tretåig hackspett (NT, T, §4), vitgrynig nållav (NT), mörk husmossa (S,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