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15047-2024 i Vilhelmina kommun</w:t>
      </w:r>
    </w:p>
    <w:p>
      <w:r>
        <w:t>Denna tillsynsbegäran behandlar höga naturvärden i avverkningsanmälan A 15047-2024 i Vilhelmina kommun som inkom 2024-04-17 och omfattar 1,3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7193432, E 535763 i SWEREF 99 TM.</w:t>
      </w:r>
    </w:p>
    <w:p>
      <w:r>
        <w:t>I avverkningsanmälan finns fynd av 10 naturvårdsarter, varav 7 är rödlistade, 3 är fridlysta, 6 är typiska (T) och 2 är signalarter (S): garnlav (VU, T), gammelgransskål (NT, T), knottrig blåslav (NT, T), liten svartspik (NT), rödvingetrast (NT, §4), tretåig hackspett (NT, T, §4), vitgrynig nållav (NT), bårdlav (S, T), luddlav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tretåig hackspett (NT, T, §4),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