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39272-2021 i Vilhelmina kommun</w:t>
      </w:r>
    </w:p>
    <w:p>
      <w:r>
        <w:t>Detta dokument behandlar höga naturvärden i avverkningsanmälan A 39272-2021 i Vilhelmina kommun. Denna avverkningsanmälan inkom 2021-08-04 00:00:00 och omfattar 38,0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31 naturvårdsarter hittats: citronporing (CR), grantickeporing (VU), rynkskinn (VU), skuggnål (VU), brunpudrad nållav (NT), doftskinn (NT), gammelgransskål (NT), garnlav (NT), granticka (NT), gränsticka (NT), harticka (NT), järpe (NT, §4), kötticka (NT), rosenticka (NT), rödbrun blekspik (NT), spillkråka (NT, §4), stjärntagging (NT), talltita (NT, §4), tretåig hackspett (NT, §4), ullticka (NT), vitgrynig nållav (NT), vitskaftad svartspik (NT), blodticka (S), bårdlav (S), gulnål (S), luddlav (S), mörk husmossa (S), stuplav (S), trådticka (S), vågbandad barkbock (S) och revlummer (§9).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5720"/>
            <wp:docPr id="1" name="Picture 1"/>
            <wp:cNvGraphicFramePr>
              <a:graphicFrameLocks noChangeAspect="1"/>
            </wp:cNvGraphicFramePr>
            <a:graphic>
              <a:graphicData uri="http://schemas.openxmlformats.org/drawingml/2006/picture">
                <pic:pic>
                  <pic:nvPicPr>
                    <pic:cNvPr id="0" name="A 39272-2021 karta.png"/>
                    <pic:cNvPicPr/>
                  </pic:nvPicPr>
                  <pic:blipFill>
                    <a:blip r:embed="rId16"/>
                    <a:stretch>
                      <a:fillRect/>
                    </a:stretch>
                  </pic:blipFill>
                  <pic:spPr>
                    <a:xfrm>
                      <a:off x="0" y="0"/>
                      <a:ext cx="5486400" cy="3865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7166028, E 559315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Citronporing (VU)</w:t>
      </w:r>
      <w:r>
        <w:t xml:space="preserve"> växer på granlågor i naturskogsartade granskogar. Den påträffas ofta på eller nära fruktkroppar av klibbticka. Citronporing är globalt rödlistad som starkt hotad (EN) vilket innebär att Sverige har ett internationellt ansvar för arten. Alla skogsskötselåtgärder på eller i direkt anslutning till växtplatserna utgör ett hot och områden som hyser arten måste undantas helt från skogsbruk. Lokaler där citronporing påträffas bör ges ett juridiskt skydd (SLU Artdatabanken, 2026; IUCN,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järpe (NT, §4), spillkråka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