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48227-2023 i Vilhelmina kommun</w:t>
      </w:r>
    </w:p>
    <w:p>
      <w:r>
        <w:t>Detta dokument behandlar höga naturvärden i avverkningsanmälan A 48227-2023 i Vilhelmina kommun. Denna avverkningsanmälan inkom 2023-10-02 och omfattar 7,9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17 naturvårdsarter hittats: liten sotlav (VU), rynkskinn (VU), gammelgransskål (NT), garnlav (NT), granticka (NT), gränsticka (NT), harticka (NT), knottrig blåslav (NT), liten svartspik (NT), rosenticka (NT), rödbrun blekspik (NT), spillkråka (NT, §4), talltita (NT, §4), tretåig hackspett (NT, §4), vitgrynig nållav (NT), trådticka (S) och lavskrika (§4). Av dessa är 15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607269"/>
            <wp:docPr id="1" name="Picture 1"/>
            <wp:cNvGraphicFramePr>
              <a:graphicFrameLocks noChangeAspect="1"/>
            </wp:cNvGraphicFramePr>
            <a:graphic>
              <a:graphicData uri="http://schemas.openxmlformats.org/drawingml/2006/picture">
                <pic:pic>
                  <pic:nvPicPr>
                    <pic:cNvPr id="0" name="A 48227-2023 karta.png"/>
                    <pic:cNvPicPr/>
                  </pic:nvPicPr>
                  <pic:blipFill>
                    <a:blip r:embed="rId16"/>
                    <a:stretch>
                      <a:fillRect/>
                    </a:stretch>
                  </pic:blipFill>
                  <pic:spPr>
                    <a:xfrm>
                      <a:off x="0" y="0"/>
                      <a:ext cx="5486400" cy="560726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7206437, E 545326 i SWEREF 99 TM.</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(SLU Artdatabanken, 2024; Nitare &amp; Skogsstyrelsen, 2019).</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r>
        <w:rPr>
          <w:b/>
        </w:rPr>
        <w:t>Granticka (NT)</w:t>
      </w:r>
      <w:r>
        <w:t xml:space="preserve"> förekommer främst i äldre skogar med naturskogskaraktär, liksom i dimensionsavverkade och plockhuggna skogar. I äldre grannaturskog i norra Sverige är den alltjämt en förhållandevis vanlig karaktärsart, medan den längre söderut blir allt mer sällsynt. I Götaland och delar av Svealand är den en god signalart för skyddsvärda granskogsmiljöer. Arten bedöms ha minskat starkt under senare år på grund av skogsavverkningar, då den framför allt växer i äldre granskog med långvarig grankontinuitet. I urskogsliknande bestånd i norra Sverige kan ibland påträffas den mycket sällsynta tickan grantickeporing (VU), som lever på döda grantickor (SLU Artdatabanken, 2024; Nitare &amp; Skogsstyrelsen, 2019).</w:t>
      </w:r>
    </w:p>
    <w:p>
      <w:r>
        <w:rPr>
          <w:b/>
        </w:rPr>
        <w:t>Gränsticka (NT)</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Lokaler som hyser arten, speciellt i mellersta och södra Sverige, bör undantas från skogsbruk (SLU Artdatabanken, 2024; Nitare &amp; Skogsstyrelsen, 2019).</w:t>
      </w:r>
    </w:p>
    <w:p>
      <w:r>
        <w:rPr>
          <w:b/>
        </w:rPr>
        <w:t>Harticka (NT)</w:t>
      </w:r>
      <w:r>
        <w:t xml:space="preserve"> är normalt en mycket bra signalart för granskogar med höga naturvärden. Även när svampen påträffas i mer påverkade skogar är det nästan alltid fråga om skogsmiljöer i sena successionsstadier med höga naturvärden. Skogsskötselåtgärder på eller i omedelbar närhet av växtplatserna kan innebära ett hot mot arten (SLU Artdatabanken, 2024; Nitare &amp; Skogsstyrelsen, 2019).</w:t>
      </w:r>
    </w:p>
    <w:p>
      <w:r>
        <w:rPr>
          <w:b/>
        </w:rPr>
        <w:t>Knottrig blåslav (NT)</w:t>
      </w:r>
      <w:r>
        <w:t xml:space="preserve"> har sin huvudutbredning i gamla granskogar i det övre barrskogsbältet mot fjällen. Den signalerar alltid höga naturvärden och växer i skogar med lång kontinuitet, mest i opåverkade naturskogsbestånd. Arten överlever inte en slutavverkning (inklusive hänsyn) och den finns idag enbart i kontinuitetsskog. Lavens fortsatta förekomst bör säkerställas genom att lokaler med äldre barrskog skyddas (SLU Artdatabanken, 2024; Nitare &amp; Skogsstyrelsen, 2019).</w:t>
      </w:r>
    </w:p>
    <w:p>
      <w:r>
        <w:rPr>
          <w:b/>
        </w:rPr>
        <w:t>Liten sotlav (VU)</w:t>
      </w:r>
      <w:r>
        <w:t xml:space="preserve"> förekommer i gamla brandrefugiala boreala granskogar där den oftast påträffas på grovbarkiga, senvuxna, mycket gamla granar. Arten är en av de mest krävande arterna i fuktig grannaturskog och är placerad högst upp i Skogsstyrelsens värdepyramid för bedömning av skog med höga naturvärden. Samtliga förekomster bör skyddas (SLU Artdatabanken, 2024; Nitare &amp; Skogsstyrelsen, 2019).</w:t>
      </w:r>
    </w:p>
    <w:p>
      <w:r>
        <w:rPr>
          <w:b/>
        </w:rPr>
        <w:t>Liten svartspik (NT)</w:t>
      </w:r>
      <w:r>
        <w:t xml:space="preserve"> växer på granbark i boreala barrskogar med lång trädkontinuitet och hög luftfuktighet. Orsaken till tillbakagången beror på främst på slutavverkningar av naturskogsartade granskogar. Bestånd med riklig förekomst av liten svartspik bör regelmässigt sparas. Naturhänsyn i samband med slutavverkning måste ske så att man undviker uttorkningseffekter (SLU Artdatabanken, 2024).</w:t>
      </w:r>
    </w:p>
    <w:p>
      <w:r>
        <w:rPr>
          <w:b/>
        </w:rPr>
        <w:t>Rosenticka (NT)</w:t>
      </w:r>
      <w:r>
        <w:t>,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(Nitare &amp; Skogsstyrelsen, 2019; SLU Artdatabanken, 2024).</w:t>
      </w:r>
    </w:p>
    <w:p>
      <w:r>
        <w:rPr>
          <w:b/>
        </w:rPr>
        <w:t>Rynkskinn (VU)</w:t>
      </w:r>
      <w:r>
        <w:t>, rödlistad som sårbar,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(Nitare &amp; Skogsstyrelsen, 2019; SLU Artdatabanken, 2024).</w:t>
      </w:r>
    </w:p>
    <w:p>
      <w:r>
        <w:rPr>
          <w:b/>
        </w:rPr>
        <w:t>Rödbrun blekspik (NT)</w:t>
      </w:r>
      <w:r>
        <w:t xml:space="preserve"> växer i norra Sverige på bark och ved av björk och gran i skogar med hög och jämn luftfuktighet. I södra Sverige växer den främst på ek i öppna åldriga lövskogar. I norra delen av sitt utbredningsområde hotas arten av slutavverkningar av gamla granskogar. I den södra delen av landet hotas den genom de åldriga lövskogarnas tillbakagång och särskilt ekhagarnas igenväxning och genom plantering av sådan mark med barrskog. Rödbrun blekspik signalerar alltid höga naturvärden (SLU Artdatabanken, 2024; Nitare &amp; Skogsstyrelsen, 2019).</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pPr>
        <w:pStyle w:val="Heading1"/>
      </w:pPr>
      <w:r>
        <w:t>Fridlysta arter</w:t>
      </w:r>
    </w:p>
    <w:p>
      <w:r>
        <w:t>Följande fridlysta arter har sina livsmiljöer och växtplatser i den avverkningsanmälda skogen: spillkråka (NT, §4), talltita (NT, §4), tretåig hackspett (NT, §4) och lavskrika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Lavskrika (§4)</w:t>
      </w:r>
      <w:r>
        <w:t>, prioriterad art i Skogsvårdslagen, är en mycket stationär fågel, som häckar i äldre, slutna och hänglavsrika barrskogar. Reviren är livslånga med hemområden som varierar mellan 50 och 150 ha. Inom ett revir av hög kvalitet finns det som regel ett eller flera kärnområden (1–20 ha) med relativt tät flerskiktad granskog. Arten missgynnas när flerskiktad skog omförs till enskiktade bestånd och även röjning och hård gallring är starkt negativt. Lavskrikan har relativt stora hemområden och försvinner när den äldre skogen fragmenteras, särskilt allvarligt är när kärnområdena avverkas. (Skogsstyrelsen 2016). Populationen har minskat med 20–40 % de senaste 30 åren. Arten försvinner successivt framför allt vid dess utbredningsgränser (SLU Artdatabanken, 2021).</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(Skogsstyrelsen, 2016).</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17 naturvårdsarter varav 15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Lavskrika – ekologi samt krav på livsmiljön</w:t>
      </w:r>
    </w:p>
    <w:p>
      <w:r>
        <w:t>Lavskrikan är fridlyst enligt 4 § artskyddsförordningen (2007:845) och ingår i förteckningen över prioriterade arter i Skogsstyrelsens föreskrifter och allmänna råd (SKSFS 2011:7) bilaga 4.</w:t>
      </w:r>
    </w:p>
    <w:p>
      <w:r>
        <w:t xml:space="preserve">I Skogsstyrelsens vägledning för hänsyn till fåglar står bland annat att: </w:t>
      </w:r>
      <w:r>
        <w:rPr>
          <w:i/>
        </w:rPr>
        <w:t>“Reviren är livslånga med hemområden som varierar mellan 50 och 150 ha. Hemområdena har inga fasta gränser utan det handlar mera om de yttre gränserna för familjegruppernas rörelser. Lavskrikan undviker att förflytta sig över stora öppna områden och hemområdesstorleken är därför större i områden fragmenterade av hyggen och yngre skog än i områden med i sammanhängande äldre skog. Det finns studier som antyder att det inom ett revir bör finnas maximalt 15 % öppna ytor och ungskog. Inom ett revir av hög kvalitet finns det som regel ett eller flera kärnområden (1–20 ha) med relativt tät flerskiktad granskog.”</w:t>
      </w:r>
      <w:r>
        <w:t xml:space="preserve"> Vidare att: </w:t>
      </w:r>
      <w:r>
        <w:rPr>
          <w:i/>
        </w:rPr>
        <w:t>“Arten missgynnas när flerskiktad skog omförs till enskiktade bestånd. Även skogsskötsel med återkommande röjning och hård gallring är starkt negativt. Lavskrikan har relativt stora hemområden och försvinner när den äldre skogen fragmenteras, särskilt allvarligt är när kärnområdena avverkas.”</w:t>
      </w:r>
      <w:r>
        <w:t xml:space="preserve"> (Skogsstyrelsen 2016).</w:t>
      </w:r>
    </w:p>
    <w:p>
      <w:r>
        <w:t>Populationen har minskat med 20–40 % de senaste 30 åren, men i Svensk Fågeltaxerings standardrutter varierar antalet kraftigt och ingen minskning kan skönjas de senaste 18 åren. Arten försvinner successivt framför allt vid dess utbredningsgränser (SLU Artdatabanken, 2022).</w:t>
      </w:r>
    </w:p>
    <w:p>
      <w:pPr>
        <w:pStyle w:val="Heading2"/>
      </w:pPr>
      <w:r>
        <w:t>Referenser – lavskrika</w:t>
      </w:r>
    </w:p>
    <w:p>
      <w:r>
        <w:t xml:space="preserve">Skogsstyrelsen, 2016. </w:t>
      </w:r>
      <w:r>
        <w:rPr>
          <w:i/>
        </w:rPr>
        <w:t xml:space="preserve">Vägledning för hänsyn till fåglar – lavskrika. </w:t>
      </w:r>
      <w:r>
        <w:t>https://www.skogsstyrelsen.se/globalassets/lag-och-tillsyn/artskydd/vagledningar-for-hansyn-till-faglar/lavskrika-vagledning-hansyn.pdf</w:t>
      </w:r>
    </w:p>
    <w:p>
      <w:r>
        <w:t xml:space="preserve">SLU Artdatabanken, 2021. </w:t>
      </w:r>
      <w:r>
        <w:rPr>
          <w:i/>
        </w:rPr>
        <w:t xml:space="preserve">Artfaktablad. Naturvård – artfakta. </w:t>
      </w:r>
      <w:r>
        <w:t>SLU Artdatabanken, Uppsala</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2025-06-15</w:t>
      <w:br/>
      <w:br/>
    </w:r>
    <w:r>
      <w:t>Till: Allmännings- och besparingsskogar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