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klagomål behandlar höga naturvärden i avverkningsanmälan A 54843-2021 i Vilhelmina kommun som inkom 2021-10-05 och omfattar 11,3 ha.</w:t>
      </w:r>
    </w:p>
    <w:p>
      <w:pPr>
        <w:pStyle w:val="Caption"/>
      </w:pPr>
      <w:r>
        <w:drawing>
          <wp:inline xmlns:a="http://schemas.openxmlformats.org/drawingml/2006/main" xmlns:pic="http://schemas.openxmlformats.org/drawingml/2006/picture">
            <wp:extent cx="5486400" cy="2298255"/>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2298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7163899, E 586622 i SWEREF 99 TM.</w:t>
      </w:r>
    </w:p>
    <w:p>
      <w:r>
        <w:t>I avverkningsanmälan finns fynd av 14 naturvårdsarter, varav 10 är rödlistade, 4 är fridlysta, 9 är typiska (T) och 2 är signalarter (S): garnlav (VU, T), grantickeporing (VU), ostticka (VU, T), ulltickeporing (VU), gammelgransskål (NT, T), rosenticka (NT, T), talltita (NT, §4), tretåig hackspett (NT, T, §4), ullticka (NT, T), vitgrynig nållav (NT), skinnlav (S, T), trådticka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