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25504-2020 i Vilhelmina kommun</w:t>
      </w:r>
    </w:p>
    <w:p>
      <w:r>
        <w:t>Detta dokument behandlar höga naturvärden i avverkningsanmälan A 25504-2020 i Vilhelmina kommun. Denna avverkningsanmälan inkom 2020-06-01 och omfattar 18,6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granticka (NT), gränsticka (NT), knottrig blåslav (NT), lappmes (NT, §4), ullticka (NT), bårdlav (S)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25504-2020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7204655, E 525468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lappmes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Vägledning för hänsyn till lappmes. Vägledningar och kunskapsstöd artskydd - Skogsstyrelsen</w:t>
      </w:r>
    </w:p>
    <w:p>
      <w:r>
        <w:t xml:space="preserve">SLU Artdatabanken, 2024. </w:t>
      </w:r>
      <w:r>
        <w:rPr>
          <w:i/>
        </w:rPr>
        <w:t xml:space="preserve">Artfakta: lappmes (Poecile cinctus). </w:t>
      </w:r>
      <w:r>
        <w:t>https://artfakta.se/taxa/103022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