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45751-2022 i Vilhelmina kommun</w:t>
      </w:r>
    </w:p>
    <w:p>
      <w:r>
        <w:t>Detta klagomål behandlar höga naturvärden i avverkningsanmälan A 45751-2022 i Vilhelmina kommun som inkom 2022-10-04 och omfattar 20,1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45751-2022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7209024, E 544912 i SWEREF 99 TM.</w:t>
      </w:r>
    </w:p>
    <w:p>
      <w:r>
        <w:t>I och inom 7 meter från avverkningsanmälan finns fynd av 29 naturvårdsarter, varav 21 är rödlistade, 4 är fridlysta, 23 är typiska (T) och 7 är signalarter (S): garnlav (VU, T), grantickeporing (VU), gränsticka (VU, T), liten sotlav (VU, T), ostticka (VU, T), rödskaftad svartspik (VU), tajgaskinn (VU), doftskinn (NT, T), gammelgransskål (NT, T), harticka (NT, T), kötticka (NT), lavskrika (NT, T, §4), lunglav (NT, T), rosenticka (NT, T), rynkskinn (NT, T), skrovellav (NT, T), stjärntagging (NT, T), talltita (NT, §4), tretåig hackspett (NT, T, §4), ullticka (NT, T), vitgrynig nållav (NT), kornig nållav (S, T), luddlav (S, T), mörk husmossa (S, T), skogshakmossa (S, T), stuplav (S, T),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Rödskaftad svartspik (VU)</w:t>
      </w:r>
      <w:r>
        <w:t xml:space="preserve"> växer huvudsakligen på ved på gran och björk i kontinuitetsskog med hög och jämn luftfuktighet men även på porlagret av svampen granticka på gran, även funnen på ullticka (NT). Avverkning av lokalerna liksom åtgärder som kan påverka markvatten och luftfuktighet i närheten av lokalerna utgör hot. Alla skogsskötselåtgärder på eller i närheten av växtplatserna bör undvikas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