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samrådsanmälan S 846-2022 i Vilhelmina kommun</w:t>
      </w:r>
    </w:p>
    <w:p>
      <w:r>
        <w:t>Denna tillsynsbegäran behandlar höga naturvärden i samrådsanmälan S 846-2022 i Vilhelmina kommun som inkom 2022-02-11 och omfattar 1180,1 ha.</w:t>
      </w:r>
    </w:p>
    <w:p>
      <w:pPr>
        <w:pStyle w:val="Caption"/>
      </w:pPr>
      <w:r>
        <w:drawing>
          <wp:inline xmlns:a="http://schemas.openxmlformats.org/drawingml/2006/main" xmlns:pic="http://schemas.openxmlformats.org/drawingml/2006/picture">
            <wp:extent cx="5486400" cy="4871963"/>
            <wp:docPr id="1" name="Picture 1"/>
            <wp:cNvGraphicFramePr>
              <a:graphicFrameLocks noChangeAspect="1"/>
            </wp:cNvGraphicFramePr>
            <a:graphic>
              <a:graphicData uri="http://schemas.openxmlformats.org/drawingml/2006/picture">
                <pic:pic>
                  <pic:nvPicPr>
                    <pic:cNvPr id="0" name="S 846-2022 karta.png"/>
                    <pic:cNvPicPr/>
                  </pic:nvPicPr>
                  <pic:blipFill>
                    <a:blip r:embed="rId16"/>
                    <a:stretch>
                      <a:fillRect/>
                    </a:stretch>
                  </pic:blipFill>
                  <pic:spPr>
                    <a:xfrm>
                      <a:off x="0" y="0"/>
                      <a:ext cx="5486400" cy="4871963"/>
                    </a:xfrm>
                    <a:prstGeom prst="rect"/>
                  </pic:spPr>
                </pic:pic>
              </a:graphicData>
            </a:graphic>
          </wp:inline>
        </w:drawing>
      </w:r>
    </w:p>
    <w:p>
      <w:pPr>
        <w:pStyle w:val="Caption"/>
        <w:spacing w:after="240"/>
      </w:pPr>
      <w:r>
        <w:t>Figur 1. Fyndplatser för naturvårdsarter i och inom 24 meter från samrådsanmälan. Markörer utan svart kant är placerade på fyndplatsen. Markörer med svart kant är placerade vid sidan av fyndplatsen och har ett svart streck som visar fyndplatsens exakta position. Kartans mittpunktskoordinat är N 7175850, E 576893 i SWEREF 99 TM.</w:t>
      </w:r>
    </w:p>
    <w:p>
      <w:r>
        <w:t>I och inom 24 meter från samrådsanmälan finns fynd av 3 naturvårdsarter, varav 2 är rödlistade, 1 är fridlyst, 2 är typiska (T) och 1 är signalart (S): garnlav (VU, T), talltita (NT, §4) och skinnlav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samrådsanmälan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samrådsanmälda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Talltita (NT, §4)</w:t>
      </w:r>
      <w:r>
        <w:t>, rödlistad som nära hotad och prioriterad art i Skogsvårdslagen, har häckningsrevir i anmälan. Arten har minskat kraftigt de senaste 30 åren och minskningstakten innevarande 10-årsperiod beräknas till 20 (10–30) %. Talltitan är synnerligen trogen sitt cirka 15 hektar stora revir och är beroende av flerskiktade olikåldriga skogar för att kunna föda upp sina ungar. Talltitan försvinner om dess livsmiljö kalavverkas (Eggers &amp; Low, 2014; Ekman, 1979; Griesser et al, 2007; Klein, 2020; Siffczyk et al, 2003; SLU Artdatabanken, 2021).</w:t>
      </w:r>
    </w:p>
    <w:p>
      <w:r>
        <w:rPr>
          <w:b/>
        </w:rPr>
        <w:t xml:space="preserve">Skinnlav </w:t>
      </w:r>
      <w:r>
        <w:t xml:space="preserve">förekommer på diverse lövträd, främst på gammal asp och sälg. Den påträffas främst i områden med lång kontinuitet av grova lövträd och signalerar skogsmark med höga naturvärden. På lokalerna förekommer som regel ett flertal andra ovanliga eller rödlistade lavar. I likhet med gelélavarna, etablerar sig skinnlaven i skogsmark på grova aspar i sena lövsuccessioner. Skinnlav är typisk art för </w:t>
      </w:r>
      <w:r>
        <w:rPr>
          <w:i/>
        </w:rPr>
        <w:t xml:space="preserve">9010 Taiga, 9020 Nordlig ädellövskog </w:t>
      </w:r>
      <w:r>
        <w:t xml:space="preserve">och </w:t>
      </w:r>
      <w:r>
        <w:rPr>
          <w:i/>
        </w:rPr>
        <w:t xml:space="preserve">9070 Trädklädd betesmark </w:t>
      </w:r>
      <w:r>
        <w:t>(Nitare &amp; Skogsstyrelsen, 2019; SLU Artdatabanken, 2025).</w:t>
      </w:r>
    </w:p>
    <w:p>
      <w:pPr>
        <w:pStyle w:val="Heading1"/>
      </w:pPr>
      <w:r>
        <w:t>EU:s fågeldirektiv</w:t>
      </w:r>
    </w:p>
    <w:p>
      <w:r>
        <w:t xml:space="preserve">Europeiska unionens medlemsländer är skyldiga att agera i enlighet med EU:s fågeldirektiv där det uttryckligen står att direktivet gäller för fåglar samt för deras ägg, bon och </w:t>
      </w:r>
      <w:r>
        <w:rPr>
          <w:b/>
        </w:rPr>
        <w:t xml:space="preserve">livsmiljöer </w:t>
      </w:r>
      <w:r>
        <w:t>(artikel 1). Vidare att de åtgärder som vidtas inte får leda till en försämring av den nuvarande situationen beträffande bevarandet av de fågelarter som avses i artikel 1 (artikel 13). Fågeldirektivet är styrande för tillsynsansvariga myndigheters ärendehantering, ställningstaganden och beslutsfattande.</w:t>
      </w:r>
    </w:p>
    <w:p>
      <w:r>
        <w:br w:type="page"/>
      </w:r>
    </w:p>
    <w:p>
      <w:pPr>
        <w:pStyle w:val="Title"/>
      </w:pPr>
      <w:r>
        <w:t>BILAGA 1 – Fridlysta arter</w:t>
      </w:r>
    </w:p>
    <w:p>
      <w:pPr>
        <w:pStyle w:val="Heading1"/>
      </w:pPr>
      <w:r>
        <w:t>Talltita – ekologi samt krav på livsmiljön</w:t>
      </w:r>
    </w:p>
    <w:p>
      <w:r>
        <w:t>Talltita är rödlistad som NT, fridlyst och prioriterad art i Skogsvårdslagen. Den omfattas av EU:s fågeldirektiv. Arten har minskat kraftigt de senaste 30 åren och minskningstakten innevarande 10-årsperiod beräknas till 20 (10–30) % (SLU Artdatabanken, 2022).</w:t>
      </w:r>
    </w:p>
    <w:p>
      <w:r>
        <w:t>Talltita föredrar större sammanhängande barrskogar, och finns såväl i tallskog som granskog och i lövblandad barrskog. Skogens struktur är viktig och ska helst vara flerskiktad med riklig underväxt av mindre granar, björk och andra lövträd och buskar. Tillgång på murknande högstubbar är särskilt viktig, eftersom talltitan helst själv hackar ut sitt bohål (SLU Artdatabanken, 2022).</w:t>
      </w:r>
    </w:p>
    <w:p>
      <w:r>
        <w:t>Det finns flera studier som visar att talltita är känslig för gallring och inte överlever när dess livsmiljö kalavverkas (Eggers and Low, 2014; Griesser et al., 2007; Klein, 2020). Talltitans revir är förhållandevis stora, 10–20 hektar och arten missgynnas när skogen fragmenteras. Kalavverkning av större delar av reviret innebär att det överges (Artdatabanken, 2021).</w:t>
      </w:r>
    </w:p>
    <w:p>
      <w:r>
        <w:t>Talltitan är synnerligen trogen sitt revir så länge paret lever och biotopen förblir intakt. Paret stannar i sitt revir året om. En förlust av ett revir har därför en stor inverkan på den lokala populationen och trakthyggesbruket anses vara orsak till den svenska populationens kraftiga minskning. Talltiteparets revirtrohet innebär att närhelst under året man observerar en adult talltita så ingår denna plats i reviret (Siffczyk et al., 2003; Ekman, 1979).</w:t>
      </w:r>
    </w:p>
    <w:p>
      <w:pPr>
        <w:pStyle w:val="Heading2"/>
      </w:pPr>
      <w:r>
        <w:t>Referenser – talltita</w:t>
      </w:r>
    </w:p>
    <w:p>
      <w:r>
        <w:t xml:space="preserve">Eggers, S., Low, M., 2014. </w:t>
      </w:r>
      <w:r>
        <w:rPr>
          <w:i/>
        </w:rPr>
        <w:t xml:space="preserve">Differential demographic responses of sympatric Parids to vegetation management in boreal forest. </w:t>
      </w:r>
      <w:r>
        <w:t>For. Ecol. Manage. 319, 169–175.</w:t>
      </w:r>
    </w:p>
    <w:p>
      <w:r>
        <w:t xml:space="preserve">Ekman, J., 1979. </w:t>
      </w:r>
      <w:r>
        <w:rPr>
          <w:i/>
        </w:rPr>
        <w:t xml:space="preserve">Coherence, composition and territories of winter social groups of the Willow Tit Parus montanus and the Crested Tit P. cristatus. </w:t>
      </w:r>
      <w:r>
        <w:t>Ornis Scandinavica, 10, pp 56–68</w:t>
      </w:r>
    </w:p>
    <w:p>
      <w:r>
        <w:t xml:space="preserve">Griesser, M., Nystrand, M., Eggers, S., Ekman, J., 2007. </w:t>
      </w:r>
      <w:r>
        <w:rPr>
          <w:i/>
        </w:rPr>
        <w:t xml:space="preserve">Impact of forestry practices on fitness correlates and population productivity in an open-nesting bird species. </w:t>
      </w:r>
      <w:r>
        <w:t>Conserv. Biol. 21, 767–774. https://doi.org/10.1111/j.1523- 1739.2007.00675.x</w:t>
      </w:r>
    </w:p>
    <w:p>
      <w:r>
        <w:t xml:space="preserve">Klein, J., 2020. </w:t>
      </w:r>
      <w:r>
        <w:rPr>
          <w:i/>
        </w:rPr>
        <w:t xml:space="preserve">The forgotten forest – On thinning, retention, and biodiversity in the boreal forest. </w:t>
      </w:r>
      <w:r>
        <w:t>Doctoral Thesis No. 2020:50</w:t>
      </w:r>
    </w:p>
    <w:p>
      <w:r>
        <w:t xml:space="preserve">Siffczyk, C., Brotons, L., Kangas, K., Orell, M., 2003. </w:t>
      </w:r>
      <w:r>
        <w:rPr>
          <w:i/>
        </w:rPr>
        <w:t xml:space="preserve">Home range size of willow tits. </w:t>
      </w:r>
      <w:r>
        <w:t>Oecologica, 136, 635–642 (2003)</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