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28796-2024 i Vilhelmina kommun</w:t>
      </w:r>
    </w:p>
    <w:p>
      <w:r>
        <w:t>Detta dokument behandlar höga naturvärden i avverkningsanmälan A 28796-2024 i Vilhelmina kommun. Denna avverkningsanmälan inkom 2024-07-05 00:00:00 och omfattar 20,0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16 naturvårdsarter hittats: gräddticka (VU), rynkskinn (VU), ulltickeporing (VU), garnlav (NT), granticka (NT), gränsticka (NT), harticka (NT), Leptoporus mollis (NT), lunglav (NT), rosenticka (NT), talltita (NT, §4), tretåig hackspett (NT, §4), ullticka (NT), blodticka (S), trådticka (S) och tjäder (§4).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28796-2024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7246996, E 541576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Gräddticka (VU)</w:t>
      </w:r>
      <w:r>
        <w:t xml:space="preserve"> har klassificerats som en ”gammelskogsindikator” och signalerar granskogar med höga naturvärden. Den kräver miljöer med hög och jämn fuktighet och växtplatserna ligger oftast på näringsrik, fuktig eller blöt mark där lågan och den murkna veden hålls konstant fuktig. Slutavverkning av gammelgranskog är ett direkt hot mot artens existens i landet och artens växtplatser måste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talltita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16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