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54734-2022 i Vilhelmina kommun</w:t>
      </w:r>
    </w:p>
    <w:p>
      <w:r>
        <w:t>Detta klagomål behandlar höga naturvärden i avverkningsanmälan A 54734-2022 i Vilhelmina kommun som inkom 2022-11-16 och omfattar 19,0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54734-2022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7226432, E 540165 i SWEREF 99 TM.</w:t>
      </w:r>
    </w:p>
    <w:p>
      <w:r>
        <w:t>I och inom 25 meter från avverkningsanmälan finns fynd av 23 naturvårdsarter, varav 15 är rödlistade, 1 är fridlyst, 20 är typiska (T) och 8 är signalarter (S): garnlav (VU, T), tajgaskinn (VU), vitskaftad svartspik (VU, T), brunpudrad nållav (NT, T), gammelgransskål (NT, T), harticka (NT, T), knottrig blåslav (NT, T), rosenticka (NT, T), rödbrun blekspik (NT, T), skrovellav (NT, T), tretåig hackspett (NT, T, §4), ullticka (NT, T), vedflikmossa (NT), violmussling (NT, T), vitgrynig nållav (NT), bronshjon (S, T), bårdlav (S, T), kornig nållav (S, T), källpraktmossa (S, T), luddlav (S, T), mörk husmossa (S, T), skogshakmossa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