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22161-2024 i Vilhelmina kommun</w:t>
      </w:r>
    </w:p>
    <w:p>
      <w:r>
        <w:t>Detta dokument behandlar höga naturvärden i avverkningsanmälan A 22161-2024 i Vilhelmina kommun. Denna avverkningsanmälan inkom 2024-05-31 och omfattar 11,2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12 naturvårdsarter hittats: brunpudrad nållav (NT), garnlav (NT), granticka (NT), gränsticka (NT), harticka (NT), järpe (NT, §4), knottrig blåslav (NT), liten svartspik (NT), tretåig hackspett (NT, §4), vitgrynig nållav (NT), vedticka (S) och revlummer (§9). Av dessa är 10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86581"/>
            <wp:docPr id="1" name="Picture 1"/>
            <wp:cNvGraphicFramePr>
              <a:graphicFrameLocks noChangeAspect="1"/>
            </wp:cNvGraphicFramePr>
            <a:graphic>
              <a:graphicData uri="http://schemas.openxmlformats.org/drawingml/2006/picture">
                <pic:pic>
                  <pic:nvPicPr>
                    <pic:cNvPr id="0" name="A 22161-2024 karta.png"/>
                    <pic:cNvPicPr/>
                  </pic:nvPicPr>
                  <pic:blipFill>
                    <a:blip r:embed="rId16"/>
                    <a:stretch>
                      <a:fillRect/>
                    </a:stretch>
                  </pic:blipFill>
                  <pic:spPr>
                    <a:xfrm>
                      <a:off x="0" y="0"/>
                      <a:ext cx="5486400" cy="478658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7199827, E 537499 i SWEREF 99 TM.</w:t>
      </w:r>
    </w:p>
    <w:p>
      <w:r>
        <w:rPr>
          <w:b/>
        </w:rPr>
        <w:t>Brunpudrad nållav (NT)</w:t>
      </w:r>
      <w:r>
        <w:t xml:space="preserve"> är beroende av hög, jämn luftfuktighet och kan påträffas i fuktiga skogar av naturskogskaraktär, ofta i sumpgranskog eller andra sumpskogar. Arten är placerad högst upp i Skogsstyrelsens värdepyramid för bedömning av skog med höga naturvärden och förekomster bör undantas från skogsbruksåtgärder (SLU Artdatabanken, 2024; Nitare &amp; Skogsstyrelsen, 2019).</w:t>
      </w:r>
    </w:p>
    <w:p>
      <w:r>
        <w:rPr>
          <w:b/>
        </w:rPr>
        <w:t>Gränsticka (NT)</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Lokaler som hyser arten, speciellt i mellersta och södra Sverige, bör undantas från skogsbruk (SLU Artdatabanken, 2024; Nitare &amp; Skogsstyrelsen, 2019).</w:t>
      </w:r>
    </w:p>
    <w:p>
      <w:pPr>
        <w:pStyle w:val="Heading1"/>
      </w:pPr>
      <w:r>
        <w:t>Fridlysta arter</w:t>
      </w:r>
    </w:p>
    <w:p>
      <w:r>
        <w:t>Följande fridlysta arter har sina livsmiljöer och växtplatser i den avverkningsanmälda skogen: järpe (NT, §4), tretåig hackspett (NT, §4)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Järpe (NT, §4)</w:t>
      </w:r>
      <w:r>
        <w:t xml:space="preserve">, rödlistad som nära hotad och prioriterad art i Skogsvårdslagen har häckningsrevir i avverkningsanmälan. Arten har minskat med 25 (10–40) % under de senaste 12 åren och är mycket stationär inom sitt revir som är minst 25 hektar stort. Dess livsmiljöer utgörs av tät barrskog med inblandning av lövträd och en väl utvecklad flerskiktad struktur med bärris och yngre eller undertryckta, täta granar i ett lägre skikt, ofta utmed bäckar och åar inne i den skyddande granskogen. Järpen överlever inte om dess livsmiljö kalavverkas och är även känslig för röjning, gallring och avverkning där unga granar och lövträd inte sparas i tillräcklig omfattning (SLU Artdatabanken, 2022). </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12 naturvårdsarter varav 10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Järpe – ekologi samt krav på livsmiljön</w:t>
      </w:r>
    </w:p>
    <w:p>
      <w:r>
        <w:t>Järpe är rödlistad som nära hotad (NT), fridlyst enligt 4§ Artskyddsförordningen och prioriterad art i Skogsvårdslagen. Järpen, som minskat med 25 (10–40) % under de senaste 12 åren, har sina livsmiljöer i tät barrskog med inblandning av lövträd och en väl utvecklad flerskiktad struktur med bärris och yngre eller undertryckta, täta granar i ett lägre skikt, ofta utmed bäckar och åar inne i den skyddande granskogen.</w:t>
      </w:r>
    </w:p>
    <w:p>
      <w:r>
        <w:t>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(SLU Artdatabanken, 2022).</w:t>
      </w:r>
    </w:p>
    <w:p>
      <w:pPr>
        <w:pStyle w:val="Heading2"/>
      </w:pPr>
      <w:r>
        <w:t>Referenser – järpe</w:t>
      </w:r>
    </w:p>
    <w:p>
      <w:r>
        <w:t xml:space="preserve">SLU Artdatabanken, 2022.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2025-03-03</w:t>
      <w:br/>
      <w:br/>
    </w:r>
    <w:r>
      <w:t>Till: Allmännings- och besparingsskogar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