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48247-2023 i Vilhelmina kommun</w:t>
      </w:r>
    </w:p>
    <w:p>
      <w:r>
        <w:t>Detta dokument behandlar höga naturvärden i avverkningsanmälan A 48247-2023 i Vilhelmina kommun. Denna avverkningsanmälan inkom 2023-10-02 och omfattar 29,7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liten sotlav (VU), gammelgransskål (NT), garnlav (NT), granticka (NT), harticka (NT), knottrig blåslav (NT), liten svartspik (NT), rödbrun blekspik (NT), tretåig hackspett (NT, §4), ullticka (NT) och vitgrynig nållav (NT). Av dessa är 11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48247-2023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7208702, E 544193 i SWEREF 99 TM.</w:t>
      </w:r>
    </w:p>
    <w:p>
      <w:r>
        <w:rPr>
          <w:b/>
        </w:rPr>
        <w:t>Liten sotlav (VU)</w:t>
      </w:r>
      <w:r>
        <w:t xml:space="preserve"> förekommer i gamla brandrefugiala boreala granskogar där den oftast påträffas på grovbarkiga, senvuxna, mycket gamla granar. Arten är en av de mest krävande arterna i fuktig grannaturskog och är placerad högst upp i Skogsstyrelsens värdepyramid för bedömning av skog med höga naturvärden. Samtliga förekomster bör skyddas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