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20904-2026 i Vilhelmina kommun</w:t>
      </w:r>
    </w:p>
    <w:p>
      <w:r>
        <w:t>Detta klagomål behandlar höga naturvärden i avverkningsanmälan A 20904-2026 i Vilhelmina kommun som inkom 2026-04-30 och omfattar 14,6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20904-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7227204, E 556982 i SWEREF 99 TM.</w:t>
      </w:r>
    </w:p>
    <w:p>
      <w:r>
        <w:t>I och inom 23 meter från avverkningsanmälan finns fynd av 19 naturvårdsarter, varav 11 är rödlistade, 7 är fridlysta, 16 är typiska (T) och 8 är signalarter (S): garnlav (VU, T), grantickeporing (VU), kungsörn (NT, §4), lappmes (NT, T, §4), lavskrika (NT, T, §4), lunglav (NT, T), skrovellav (NT, T), tretåig hackspett (NT, T, §4), ullticka (NT, T), violettgrå tagellav (NT, T), älg (NT), bårdlav (S, T), korallrot (S, T, §8), luddlav (S, T), plattlummer (S, T, §9), skinnlav (S, T), spindelblomster (S, T, §8),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