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34769-2026 i Vilhelmina kommun</w:t>
      </w:r>
    </w:p>
    <w:p>
      <w:r>
        <w:t>Detta klagomål behandlar höga naturvärden i avverkningsanmälan A 34769-2026 i Vilhelmina kommun som inkom 2026-08-21 och omfattar 13,8 ha.</w:t>
      </w:r>
    </w:p>
    <w:p>
      <w:pPr>
        <w:pStyle w:val="Caption"/>
      </w:pPr>
      <w:r>
        <w:drawing>
          <wp:inline xmlns:a="http://schemas.openxmlformats.org/drawingml/2006/main" xmlns:pic="http://schemas.openxmlformats.org/drawingml/2006/picture">
            <wp:extent cx="5486400" cy="5601903"/>
            <wp:docPr id="1" name="Picture 1"/>
            <wp:cNvGraphicFramePr>
              <a:graphicFrameLocks noChangeAspect="1"/>
            </wp:cNvGraphicFramePr>
            <a:graphic>
              <a:graphicData uri="http://schemas.openxmlformats.org/drawingml/2006/picture">
                <pic:pic>
                  <pic:nvPicPr>
                    <pic:cNvPr id="0" name="A 34769-2026 karta.png"/>
                    <pic:cNvPicPr/>
                  </pic:nvPicPr>
                  <pic:blipFill>
                    <a:blip r:embed="rId16"/>
                    <a:stretch>
                      <a:fillRect/>
                    </a:stretch>
                  </pic:blipFill>
                  <pic:spPr>
                    <a:xfrm>
                      <a:off x="0" y="0"/>
                      <a:ext cx="5486400" cy="560190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7163984, E 562012 i SWEREF 99 TM.</w:t>
      </w:r>
    </w:p>
    <w:p>
      <w:r>
        <w:t>I avverkningsanmälan finns fynd av 8 naturvårdsarter, varav 6 är rödlistade, 2 är fridlysta, 7 är typiska (T) och 2 är signalarter (S): garnlav (VU, T), gränsticka (VU, T), ulltickeporing (VU), harticka (NT, T), tretåig hackspett (NT, T, §4), ullticka (NT, T), lappranunkel (S, T, §7) och ögonpyrola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Lappranunkel (§7)</w:t>
      </w:r>
      <w:r>
        <w:t xml:space="preserve"> omfattas av EU:s art- och habitatdirektiv och är fridlyst enligt 7 § artskyddsförordningen vilket innebär att artens livsmiljöer inte får förstöras. Den är knuten till granskogsmiljöer med ytligt liggande markvatten och konstant hög luftfuktighet. Arten är känslig för kalavverkning och markskador men kan kortvarigt står kvar en tid i fuktsvackor efter en avverkning.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Lappranunkel – ekologi samt krav på livsmiljön</w:t>
      </w:r>
    </w:p>
    <w:p>
      <w:r>
        <w:t>Lappranunkel (§7) omfattas av EU:s art- och habitatdirektiv och fridlyst enligt 7 § artskyddsförordningen vilket innebär att artens livsmiljöer inte får förstöras.</w:t>
      </w:r>
    </w:p>
    <w:p>
      <w:pPr>
        <w:pStyle w:val="ListBullet"/>
      </w:pPr>
      <w:r>
        <w:t xml:space="preserve">7 § </w:t>
      </w:r>
      <w:r>
        <w:rPr>
          <w:i/>
        </w:rPr>
        <w:t>I fråga om sådana växtarter som i bilaga 1 till denna förordning har markerats med N är det förbjudet att avsiktligt plocka, samla in, skära av, dra upp med rötterna eller förstöra växter i deras naturliga utbredningsområde i naturen. Förbudet gäller alla stadier i växternas biologiska cykel.</w:t>
      </w:r>
    </w:p>
    <w:p>
      <w:r>
        <w:t xml:space="preserve">Lappranunkel är knuten till granskogsmiljöer med ytligt liggande markvatten och konstant hög luftfuktighet. Arten är känslig för kalavverkning och markskador men kan kortvarigt står kvar en tid i fuktsvackor efter en avverkning. Dikade lokaler bör restaureras hydrologiskt.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pPr>
        <w:pStyle w:val="Heading2"/>
      </w:pPr>
      <w:r>
        <w:t>Referenser – lappranunkel</w:t>
      </w:r>
    </w:p>
    <w:p>
      <w:r>
        <w:t xml:space="preserve">Nitare, J. &amp;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