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56621-2024 i Vilhelmina kommun</w:t>
      </w:r>
    </w:p>
    <w:p>
      <w:r>
        <w:t>Denna tillsynsbegäran behandlar höga naturvärden i avverkningsanmälan A 56621-2024 i Vilhelmina kommun som inkom 2024-11-29 och omfattar 39,2 ha.</w:t>
      </w:r>
    </w:p>
    <w:p>
      <w:pPr>
        <w:pStyle w:val="Caption"/>
      </w:pPr>
      <w:r>
        <w:drawing>
          <wp:inline xmlns:a="http://schemas.openxmlformats.org/drawingml/2006/main" xmlns:pic="http://schemas.openxmlformats.org/drawingml/2006/picture">
            <wp:extent cx="5486400" cy="5123692"/>
            <wp:docPr id="1" name="Picture 1"/>
            <wp:cNvGraphicFramePr>
              <a:graphicFrameLocks noChangeAspect="1"/>
            </wp:cNvGraphicFramePr>
            <a:graphic>
              <a:graphicData uri="http://schemas.openxmlformats.org/drawingml/2006/picture">
                <pic:pic>
                  <pic:nvPicPr>
                    <pic:cNvPr id="0" name="A 56621-2024 karta.png"/>
                    <pic:cNvPicPr/>
                  </pic:nvPicPr>
                  <pic:blipFill>
                    <a:blip r:embed="rId16"/>
                    <a:stretch>
                      <a:fillRect/>
                    </a:stretch>
                  </pic:blipFill>
                  <pic:spPr>
                    <a:xfrm>
                      <a:off x="0" y="0"/>
                      <a:ext cx="5486400" cy="5123692"/>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7238303, E 532380 i SWEREF 99 TM.</w:t>
      </w:r>
    </w:p>
    <w:p>
      <w:r>
        <w:t>I och inom 24 meter från avverkningsanmälan finns fynd av 25 naturvårdsarter, varav 13 är rödlistade, 6 är fridlysta, 18 är typiska (T) och 10 är signalarter (S): garnlav (VU, T), smalskaftslav (VU), vitskaftad svartspik (VU, T), brunpudrad nållav (NT, T), gammelgransskål (NT, T), knottrig blåslav (NT, T), lavskrika (NT, T, §4), rosenticka (NT, T), rödbrun blekspik (NT, T), skrovellav (NT, T), talltita (NT, §4), tretåig hackspett (NT, T, §4), vitgrynig nållav (NT), bårdlav (S, T), gräsull (S), gulnål (S, T), gytterlav (S, T), källmossor (S), luddlav (S, T), mörk husmossa (S, T), skinnlav (S, T), spindelblomster (S, T, §8), stuplav (S, T), svartvit flugsnappare (§4)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Smalskaftslav (VU)</w:t>
      </w:r>
      <w:r>
        <w:t>, rödlistad som sårbar, påträffas i gamla barrskogar eller lövskogar med mycket hög och jämn luftfuktighet. Arten är placerad i toppen av Skogsstyrelsens värdepyramid för bedömning av skog med höga naturvärden och alla skogsbruksåtgärder som kan påverka hydrologi och fuktighetsförhållandena på eller i omedelbar närhet av växtplatserna, t.ex. utglesning eller slutavverkning, är ett hot. Samtliga förekomster bör skyddas tillsammans med väl tilltagna skyddszoner (Nitare &amp; Skogsstyrelsen, 2019; SLU Artdatabanken, 2024).</w:t>
      </w:r>
    </w:p>
    <w:p>
      <w:r>
        <w:rPr>
          <w:b/>
        </w:rPr>
        <w:t>Vitskaftad svartspik (VU)</w:t>
      </w:r>
      <w:r>
        <w:t xml:space="preserve"> förekommer främst i naturskog på gamla senvuxna granar och signalerar alltid höga naturvärden. Alla skogliga åtgärder som kan påverka markvatten och luftfuktighet på i närheten av lokaler utgör ett hot. Avverkning av naturskogar utgör ett allvarligt hot och alla skogsskötselåtgärder på eller i närheten av växtplatserna bör undvikas. Lämpligt stora reservat av naturskogstyp bör bevaras. Vitskaftad svartspik är typisk art för </w:t>
      </w:r>
      <w:r>
        <w:rPr>
          <w:i/>
        </w:rPr>
        <w:t>9010 Taiga</w:t>
      </w:r>
      <w:r>
        <w:t xml:space="preserve"> (SLU Artdatabanken, 2026; Nitare &amp; Skogsstyrelsen, 2019).</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är typisk art för </w:t>
      </w:r>
      <w:r>
        <w:rPr>
          <w:i/>
        </w:rPr>
        <w:t xml:space="preserve">9010 Taiga, 9020 Nordlig ädellövskog, 9070 Trädklädd betesmark, 9160 Näringsrik ekskog </w:t>
      </w:r>
      <w:r>
        <w:t xml:space="preserve">och </w:t>
      </w:r>
      <w:r>
        <w:rPr>
          <w:i/>
        </w:rPr>
        <w:t>9180 Ädellövskog i branter</w:t>
      </w:r>
      <w:r>
        <w:t xml:space="preserve"> och signalerar alltid höga naturvärden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 xml:space="preserve">Gytterlav </w:t>
      </w:r>
      <w:r>
        <w:t xml:space="preserve">signalerar höga naturvärden i södra och mellersta Sverige, samt längs Norrlands kustland. Förekomster i söder, framför allt på trädstammar, är en indikation på gammal skogsmark med långvarig förekomst av äldre lövträd i miljöer med hög och jämn luftfuktighet. Gytterlav är typisk art för </w:t>
      </w:r>
      <w:r>
        <w:rPr>
          <w:i/>
        </w:rPr>
        <w:t xml:space="preserve">9040 Fjällbjörkskog </w:t>
      </w:r>
      <w:r>
        <w:t>(Nitare &amp; Skogsstyrelsen, 2019; SLU Artdatabanken, 2025).</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vitskaftad svartspik (VU, T), brunpudrad nållav (NT, T), gammelgransskål (NT, T), knottrig blåslav (NT, T), lavskrika (NT, T, §4), rosenticka (NT, T), rödbrun blekspik (NT, T), skrovellav (NT, T), tretåig hackspett (NT, T, §4), bårdlav (S, T), gulnål (S, T), gytterlav (S, T), luddlav (S, T), mörk husmossa (S, T), skinnlav (S, T), spindelblomster (S, T, §8) och stuplav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