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28796-2024 i Vilhelmina kommun</w:t>
      </w:r>
    </w:p>
    <w:p>
      <w:r>
        <w:t>Detta klagomål behandlar höga naturvärden i avverkningsanmälan A 28796-2024 i Vilhelmina kommun som inkom 2024-07-05 och omfattar 20,0 ha.</w:t>
      </w:r>
    </w:p>
    <w:p>
      <w:pPr>
        <w:pStyle w:val="Caption"/>
      </w:pPr>
      <w:r>
        <w:drawing>
          <wp:inline xmlns:a="http://schemas.openxmlformats.org/drawingml/2006/main" xmlns:pic="http://schemas.openxmlformats.org/drawingml/2006/picture">
            <wp:extent cx="5486400" cy="5555123"/>
            <wp:docPr id="1" name="Picture 1"/>
            <wp:cNvGraphicFramePr>
              <a:graphicFrameLocks noChangeAspect="1"/>
            </wp:cNvGraphicFramePr>
            <a:graphic>
              <a:graphicData uri="http://schemas.openxmlformats.org/drawingml/2006/picture">
                <pic:pic>
                  <pic:nvPicPr>
                    <pic:cNvPr id="0" name="A 28796-2024 karta.png"/>
                    <pic:cNvPicPr/>
                  </pic:nvPicPr>
                  <pic:blipFill>
                    <a:blip r:embed="rId16"/>
                    <a:stretch>
                      <a:fillRect/>
                    </a:stretch>
                  </pic:blipFill>
                  <pic:spPr>
                    <a:xfrm>
                      <a:off x="0" y="0"/>
                      <a:ext cx="5486400" cy="5555123"/>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7246996, E 541576 i SWEREF 99 TM.</w:t>
      </w:r>
    </w:p>
    <w:p>
      <w:r>
        <w:t>I och inom 23 meter från avverkningsanmälan finns fynd av 16 naturvårdsarter, varav 13 är rödlistade, 3 är fridlysta, 11 är typiska (T) och 2 är signalarter (S): garnlav (VU, T), gräddticka (VU), gränsticka (VU, T), Skeletocutis delicata (VU), barrviolspindling (NT), harticka (NT, T), kötticka (NT), lunglav (NT, T), rosenticka (NT, T), rynkskinn (NT, T), talltita (NT, §4), tretåig hackspett (NT, T, §4), ullticka (NT, T), blodticka (S, T), trådticka (S,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Gräddticka (VU)</w:t>
      </w:r>
      <w:r>
        <w:t xml:space="preserve"> har klassificerats som en ”gammelskogsindikator” och signalerar granskogar med höga naturvärden. Den kräver miljöer med hög och jämn fuktighet och växtplatserna ligger oftast på näringsrik, fuktig eller blöt mark där lågan och den murkna veden hålls konstant fuktig. Slutavverkning av gammelgranskog är ett direkt hot mot artens existens i landet och artens växtplatser måste undantas från skogsbruk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i/>
        </w:rPr>
        <w:t>Skeletocutis delicata</w:t>
      </w:r>
      <w:r>
        <w:rPr>
          <w:b/>
        </w:rPr>
        <w:t xml:space="preserve"> (VU)</w:t>
      </w:r>
      <w:r>
        <w:t xml:space="preserve"> orsakar vitröta på granved och påträffas främst på och intill gamla fruktkroppar av ullticka (NT). Arten verkar föredra sluten skog med grova lågor och en fortgående minskning på nationell nivå bedöms pågå, huvudsakligen p.g.a. slutavverkning av äldre barrskog, samt att uppväxande brukade skogar innehåller påtagligt mindre mängd död ved av lämplig kvalitet (SLU Artdatabanken, 2026).</w:t>
      </w:r>
    </w:p>
    <w:p>
      <w:r>
        <w:rPr>
          <w:b/>
        </w:rPr>
        <w:t>Barrviolspindling (NT)</w:t>
      </w:r>
      <w:r>
        <w:t xml:space="preserve"> bildar mykorrhiza med gran, huvudsakligen i örtrika kalkpåverkade äldre granskogar. Arten är sannolikt uttorkningskänslig och knuten till granskogar med långvarig grankontinuitet. Den hotas främst av skogsavverkning och tycks försvinna efter slutavverkning, markberedning och plantering. Minskningstakten uppgår till 15 % inom 50 år och bedöms vara nära gränsvärdet för Sårbar (VU). (A2c+3c+4c)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