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44286-2024 i Vilhelmina kommun</w:t>
      </w:r>
    </w:p>
    <w:p>
      <w:r>
        <w:t>Detta dokument behandlar höga naturvärden i avverkningsanmälan A 44286-2024 i Vilhelmina kommun. Denna avverkningsanmälan inkom 2024-10-08 00:00:00 och omfattar 29,2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videsparv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4428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7158108, E 626022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Videsparv (NT, §4)</w:t>
      </w:r>
      <w:r>
        <w:t xml:space="preserve"> är rödlistad som nära hotad (NT), fridlyst enligt 4§ artskyddsförordningen och prioriterad art enligt skogsvårdslagen. Den har minskat med 15 (0–30) % under de senaste 10 åren och under perioden 1980–2012 uppgick minskningen till 85–95 %.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Minskningstakten för den svenska populationen bedöms vara nära gränsvärdet för Sårbar (VU). (A2bcd). Videsparv är typisk art för </w:t>
      </w:r>
      <w:r>
        <w:rPr>
          <w:i/>
        </w:rPr>
        <w:t>9740 Skogsbevuxen myr</w:t>
      </w:r>
      <w:r>
        <w:t xml:space="preserve">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Videsparv – ekologi samt krav på livsmiljön</w:t>
      </w:r>
    </w:p>
    <w:p>
      <w:r>
        <w:t xml:space="preserve">Videsparv (NT, §4) är rödlistad som nära hotad (NT), fridlyst enligt 4§ Artskyddsförordningen och prioriterad art enligt skogsvårdslagen. Den har minskat med 15 (0–30) % under de senaste 10 åren och minskningstakten för den svenska populationen bedöms vara nära gränsvärdet för Sårbar (VU). (A2bcd). Under perioden 1980–2012 uppgick minskningen till 85–95 %. Videsparv är typisk art för </w:t>
      </w:r>
      <w:r>
        <w:rPr>
          <w:i/>
        </w:rPr>
        <w:t>9740 Skogsbevuxen myr</w:t>
      </w:r>
      <w:r>
        <w:t xml:space="preserve"> (SLU Artdatabanken, 2024).</w:t>
      </w:r>
    </w:p>
    <w:p>
      <w:r>
        <w:t>Videsparven är starkt knuten till sumpskogar. Den viktigaste häckningsbiotopen är lövrik sumpgranskog men kan i mer sällsynta fall även utgöras av ren barrskogsmiljö. Undantagsvis hittar man videsparv i fjällbjörkskog med ett visst inslag av enbuskar eller gran.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2024); Skogsstyrelsen, 2016).</w:t>
      </w:r>
    </w:p>
    <w:p>
      <w:r>
        <w:t>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(SLU Artdatabanken, 2024; Skogsstyrelsen, 2016).</w:t>
      </w:r>
    </w:p>
    <w:p>
      <w:pPr>
        <w:pStyle w:val="Heading2"/>
      </w:pPr>
      <w:r>
        <w:t>Referenser – videsparv</w:t>
      </w:r>
    </w:p>
    <w:p>
      <w:r>
        <w:t xml:space="preserve">Skogsstyrelsen, 2016. </w:t>
      </w:r>
      <w:r>
        <w:rPr>
          <w:i/>
        </w:rPr>
        <w:t xml:space="preserve">Vägledning för hänsyn till videsparv.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