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27113-2021 i Vilhelmina kommun</w:t>
      </w:r>
    </w:p>
    <w:p>
      <w:r>
        <w:t>Detta dokument behandlar höga naturvärden i avverkningsanmälan A 27113-2021 i Vilhelmina kommun. Denna avverkningsanmälan inkom 2021-06-03 00:00:00 och omfattar 251,8 ha.</w:t>
      </w:r>
    </w:p>
    <w:p>
      <w:r>
        <w:t>Nedan presenteras fynd av naturvårdsarter och fridlysta arter som gjorts i det avverkningsanmälda området, samt relevanta utdrag ur standarderna för FSC, Chain of Custody, Controlled Wood och PEFC. I BILAGA 1 finns artfakta om fridlysta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25 naturvårdsarter hittats: ostticka (VU), brunpudrad nållav (NT), gammelgransskål (NT), garnlav (NT), granticka (NT), gränsticka (NT), harticka (NT), knottrig blåslav (NT), rödbrun blekspik (NT), skrovellav (NT), stjärntagging (NT), tretåig hackspett (NT, §4), ullticka (NT), vitgrynig nållav (NT), vitskaftad svartspik (NT), bronshjon (S), bårdlav (S), källpraktmossa (S), luddlav (S), mörk husmossa (S), skogshakmossa (S), sotlav (S), stuplav (S), trådticka (S) och ögonpyrola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24673"/>
            <wp:docPr id="1" name="Picture 1"/>
            <wp:cNvGraphicFramePr>
              <a:graphicFrameLocks noChangeAspect="1"/>
            </wp:cNvGraphicFramePr>
            <a:graphic>
              <a:graphicData uri="http://schemas.openxmlformats.org/drawingml/2006/picture">
                <pic:pic>
                  <pic:nvPicPr>
                    <pic:cNvPr id="0" name="A 27113-2021 karta.png"/>
                    <pic:cNvPicPr/>
                  </pic:nvPicPr>
                  <pic:blipFill>
                    <a:blip r:embed="rId16"/>
                    <a:stretch>
                      <a:fillRect/>
                    </a:stretch>
                  </pic:blipFill>
                  <pic:spPr>
                    <a:xfrm>
                      <a:off x="0" y="0"/>
                      <a:ext cx="5486400" cy="42246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7236697, E 541827 i SWEREF 99 TM.</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Rödbrun blekspik (NT)</w:t>
      </w:r>
      <w:r>
        <w:t xml:space="preserve"> växer i norra Sverige på bark och ved av björk och gran i skogar med hög och jämn luftfuktighet. I södra Sverige växer den främst på ek i öppna åldriga lövskogar. I norra delen av sitt utbredningsområde hotas arten av slutavverkningar av gamla granskogar. I den södra delen av landet hotas den genom de åldriga lövskogarnas tillbakagång och särskilt ekhagarnas igenväxning och genom plantering av sådan mark med barrskog. Rödbrun blekspik signalerar alltid höga naturvärden (SLU Artdatabanken, 2024;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Sotlav</w:t>
      </w:r>
      <w:r>
        <w:t xml:space="preserve"> är överallt en mycket bra signalart och visar alltid på skogsmiljöer med höga naturvärden. Den indikerar långvarig förekomst av gamla eller döda träd. På lavens växtlokaler finns vanligen många andra ovanliga arter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r>
        <w:rPr>
          <w:b/>
        </w:rPr>
        <w:t>Vitskaftad svartspik (NT)</w:t>
      </w:r>
      <w:r>
        <w:t xml:space="preserve"> förekommer främst i naturskog på gamla senvuxna granar och signalerar alltid höga naturvärden. Alla skogliga åtgärder som kan påverka markvatten och luftfuktighet på i närheten av lokaler utgör ett hot. Avverkning av naturskogar utgör ett allvarligt hot och alla skogsskötselåtgärder på eller i närheten av växtplatserna bör undvikas. Lämpligt stora reservat av naturskogstyp bör bevaras (SLU Artdatabanken, 2024; Nitare &amp; Skogsstyrelsen, 2019).</w:t>
      </w:r>
    </w:p>
    <w:p>
      <w:r>
        <w:rPr>
          <w:b/>
        </w:rPr>
        <w:t xml:space="preserve">Ögonpyrola </w:t>
      </w:r>
      <w:r>
        <w:t>är normalt en bra signalart som visar på områden med höga naturvärden och stabila förhållanden, särskilt inom näringsfattiga trakter. Växten är mycket känslig för markskador och försvinner snabbt efter slutavverkning. Den hotas också av skogsgödsling och markavvattning (Nitare &amp; Skogsstyrelsen, 2019).</w:t>
      </w:r>
    </w:p>
    <w:p>
      <w:pPr>
        <w:pStyle w:val="Heading1"/>
      </w:pPr>
      <w:r>
        <w:t>Fridlysta arter</w:t>
      </w:r>
    </w:p>
    <w:p>
      <w:r>
        <w:t>Följande fridlysta arter har sina livsmiljöer och växtplatser i den avverkningsanmälda skogen: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25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25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