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27132-2021 i Vilhelmina kommun</w:t>
      </w:r>
    </w:p>
    <w:p>
      <w:r>
        <w:t>Detta dokument behandlar höga naturvärden i avverkningsanmälan A 27132-2021 i Vilhelmina kommun. Denna avverkningsanmälan inkom 2021-06-03 00:00:00 och omfattar 286,9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64362"/>
            <wp:docPr id="1" name="Picture 1"/>
            <wp:cNvGraphicFramePr>
              <a:graphicFrameLocks noChangeAspect="1"/>
            </wp:cNvGraphicFramePr>
            <a:graphic>
              <a:graphicData uri="http://schemas.openxmlformats.org/drawingml/2006/picture">
                <pic:pic>
                  <pic:nvPicPr>
                    <pic:cNvPr id="0" name="A 27132-2021 karta.png"/>
                    <pic:cNvPicPr/>
                  </pic:nvPicPr>
                  <pic:blipFill>
                    <a:blip r:embed="rId16"/>
                    <a:stretch>
                      <a:fillRect/>
                    </a:stretch>
                  </pic:blipFill>
                  <pic:spPr>
                    <a:xfrm>
                      <a:off x="0" y="0"/>
                      <a:ext cx="5486400" cy="336436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r>
        <w:rPr>
          <w:b/>
        </w:rPr>
        <w:t>Barrviolspindling (NT)</w:t>
      </w:r>
      <w:r>
        <w:t xml:space="preserve"> bildar mykorrhiza med gran, huvudsakligen i örtrika kalkpåverkade äldre granskogar. Arten är sannolikt uttorkningskänslig och knuten till granskogar med långvarig grankontinuitet. Den hotas främst av skogsavverkning och tycks försvinna efter slutavverkning, markberedning och plantering. Minskningstakten uppgår till 15 % inom 50 år och bedöms vara nära gränsvärdet för Sårbar (VU). (A2c+3c+4c) (SLU Artdatabanken, 2024;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 xml:space="preserve">Grov husmossa </w:t>
      </w:r>
      <w:r>
        <w:t>indikerar fuktiga och mineralrika skogsmiljöer som är mycket artrika, till exempel kalkbarrskogar och näringsrika skogar längs vattendrag. Mossan förekommer ofta tillsammans med många ovanliga och rödlistade arter. I skogslandet signalerar den överallt biotoper med höga naturvärden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Skör kvastmossa </w:t>
      </w:r>
      <w:r>
        <w:t>växer på murket trä och någon gång på humusrik jord eller torv. Den påträffas främst i miljöer med hög luftfuktighet, såsom sumpskogar och strandskogar. Den signalerar skog med höga naturvärden och indikerar rik förekomst av ved i olika nedbrytningsstadier på lokaler med hög och jämn luftfuktighet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Strutbräken </w:t>
      </w:r>
      <w:r>
        <w:t>är normalt en mycket bra och tydlig signalart som visar på flera olika fuktiga biotoper med rörligt markvatten som nästan alltid har höga naturvärden. Den växer på skuggiga, fuktiga, näringsrika mullmarker längs bäckdalar, åar, älvar, översilade sluttningar med högörtsgranskog och svämlövskogar med kortvarigt översvämmade sedimentplan. Växtplatserna har ytligt rörligt markvatten och konstant hög luftfuktighet. Arten är känslig för avverkning och dikning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Vedflikmossa (NT) </w:t>
      </w:r>
      <w:r>
        <w:t>är strikt knuten till död ved i främst Norrlands barrskogar. Fanns tidigare även i södra Sveriges skogar men är borta där. Eftersom arten huvudsakligen är hänvisad till skog där träd fått växa kontinuerligt under flera hundra år (kontinuitetsskog), inte klarar av en kalhyggesfas och har svårt att sprida sig över stora avstånd, bedöms populationen fortsätta att minska på grund av dagens avverkningstakt av kontinuitetsskog. För att hejda populationsminskningen av denna art måste kalavverkning i de barrskogar som tidigare aldrig kalhuggits (kontinuitetsskog) upphöra eller begränsas kraftigt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50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51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